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rPr>
        <w:t>3GPP TSG RAN WG2 Meeting #109</w:t>
      </w:r>
      <w:r>
        <w:rPr>
          <w:rFonts w:ascii="Arial" w:hAnsi="Arial" w:cs="Arial"/>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R2-</w:t>
      </w:r>
      <w:r>
        <w:rPr>
          <w:rFonts w:ascii="Arial" w:hAnsi="Arial" w:cs="Arial"/>
          <w:b/>
          <w:bCs/>
          <w:snapToGrid w:val="0"/>
          <w:kern w:val="0"/>
          <w:sz w:val="24"/>
        </w:rPr>
        <w:t>2001260</w:t>
      </w:r>
    </w:p>
    <w:p>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b/>
          <w:bCs/>
          <w:kern w:val="0"/>
          <w:sz w:val="24"/>
        </w:rPr>
        <w:t>Online</w:t>
      </w:r>
      <w:r>
        <w:rPr>
          <w:rFonts w:hint="eastAsia" w:ascii="Arial" w:hAnsi="Arial" w:cs="Arial"/>
          <w:b/>
          <w:bCs/>
          <w:kern w:val="0"/>
          <w:sz w:val="24"/>
        </w:rPr>
        <w:t>,</w:t>
      </w:r>
      <w:r>
        <w:rPr>
          <w:rFonts w:hint="eastAsia" w:ascii="Arial" w:hAnsi="Arial" w:eastAsia="宋体" w:cs="Arial"/>
          <w:b/>
          <w:bCs/>
          <w:kern w:val="0"/>
          <w:sz w:val="24"/>
        </w:rPr>
        <w:t xml:space="preserve"> </w:t>
      </w:r>
      <w:r>
        <w:rPr>
          <w:rFonts w:hint="eastAsia" w:ascii="Arial" w:hAnsi="Arial" w:cs="Arial"/>
          <w:b/>
          <w:bCs/>
          <w:kern w:val="0"/>
          <w:sz w:val="24"/>
        </w:rPr>
        <w:t>2</w:t>
      </w:r>
      <w:r>
        <w:rPr>
          <w:rFonts w:hint="eastAsia" w:ascii="Arial" w:hAnsi="Arial" w:eastAsia="宋体" w:cs="Arial"/>
          <w:b/>
          <w:bCs/>
          <w:kern w:val="0"/>
          <w:sz w:val="24"/>
        </w:rPr>
        <w:t>4</w:t>
      </w:r>
      <w:r>
        <w:rPr>
          <w:rFonts w:hint="eastAsia" w:ascii="Arial" w:hAnsi="Arial" w:cs="Arial"/>
          <w:b/>
          <w:bCs/>
          <w:kern w:val="0"/>
          <w:sz w:val="24"/>
        </w:rPr>
        <w:t>th Feb</w:t>
      </w:r>
      <w:r>
        <w:rPr>
          <w:rFonts w:ascii="Arial" w:hAnsi="Arial" w:cs="Arial"/>
          <w:b/>
          <w:bCs/>
          <w:kern w:val="0"/>
          <w:sz w:val="24"/>
        </w:rPr>
        <w:t xml:space="preserve"> - 6th Mar</w:t>
      </w:r>
      <w:r>
        <w:rPr>
          <w:rFonts w:hint="eastAsia" w:ascii="Arial" w:hAnsi="Arial" w:cs="Arial"/>
          <w:b/>
          <w:bCs/>
          <w:kern w:val="0"/>
          <w:sz w:val="24"/>
        </w:rPr>
        <w:t xml:space="preserve"> 2020              </w:t>
      </w:r>
      <w:r>
        <w:rPr>
          <w:rFonts w:hint="eastAsia" w:ascii="Arial" w:hAnsi="Arial" w:cs="Arial"/>
          <w:b/>
          <w:bCs/>
          <w:i/>
          <w:iCs/>
          <w:kern w:val="0"/>
          <w:sz w:val="24"/>
        </w:rPr>
        <w:t xml:space="preserve">          </w:t>
      </w:r>
      <w:r>
        <w:rPr>
          <w:rFonts w:ascii="Arial" w:hAnsi="Arial" w:cs="Arial"/>
          <w:b/>
          <w:bCs/>
          <w:i/>
          <w:iCs/>
          <w:kern w:val="0"/>
          <w:sz w:val="24"/>
        </w:rPr>
        <w:tab/>
      </w:r>
      <w:r>
        <w:rPr>
          <w:rFonts w:ascii="Arial" w:hAnsi="Arial" w:cs="Arial"/>
          <w:b/>
          <w:bCs/>
          <w:i/>
          <w:iCs/>
          <w:kern w:val="0"/>
          <w:sz w:val="24"/>
        </w:rPr>
        <w:tab/>
      </w:r>
      <w:r>
        <w:rPr>
          <w:rFonts w:hint="eastAsia" w:ascii="Arial" w:hAnsi="Arial" w:cs="Arial"/>
          <w:b/>
          <w:bCs/>
          <w:i/>
          <w:iCs/>
          <w:color w:val="7F7F7F" w:themeColor="background1" w:themeShade="80"/>
          <w:kern w:val="0"/>
          <w:sz w:val="24"/>
        </w:rPr>
        <w:t>revision of R2-1914814</w:t>
      </w:r>
      <w:r>
        <w:rPr>
          <w:rFonts w:hint="eastAsia" w:ascii="Arial" w:hAnsi="Arial" w:cs="Arial"/>
          <w:b/>
          <w:bCs/>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fast RLF recovery when applying CHO and fast MCG recovery</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6.9.3.2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At RAN2#107bis and RAN2#108, some agreements are made for failure handling in CHO [1][2]:</w:t>
      </w:r>
    </w:p>
    <w:p>
      <w:pPr>
        <w:pStyle w:val="82"/>
        <w:pBdr>
          <w:top w:val="single" w:color="auto" w:sz="4" w:space="1"/>
          <w:left w:val="single" w:color="auto" w:sz="4" w:space="4"/>
          <w:bottom w:val="single" w:color="auto" w:sz="4" w:space="1"/>
          <w:right w:val="single" w:color="auto" w:sz="4" w:space="4"/>
        </w:pBdr>
        <w:rPr>
          <w:b/>
        </w:rPr>
      </w:pPr>
      <w:r>
        <w:rPr>
          <w:b/>
        </w:rPr>
        <w:t>Agreements</w:t>
      </w:r>
    </w:p>
    <w:p>
      <w:pPr>
        <w:pStyle w:val="82"/>
        <w:pBdr>
          <w:top w:val="single" w:color="auto" w:sz="4" w:space="1"/>
          <w:left w:val="single" w:color="auto" w:sz="4" w:space="4"/>
          <w:bottom w:val="single" w:color="auto" w:sz="4" w:space="1"/>
          <w:right w:val="single" w:color="auto" w:sz="4" w:space="4"/>
        </w:pBdr>
      </w:pPr>
      <w:r>
        <w:t>1.</w:t>
      </w:r>
      <w:r>
        <w:tab/>
      </w:r>
      <w:r>
        <w:t xml:space="preserve">Confirm the working assumption </w:t>
      </w:r>
      <w:r>
        <w:rPr>
          <w:highlight w:val="yellow"/>
        </w:rPr>
        <w:t>as an optional feature:</w:t>
      </w:r>
    </w:p>
    <w:p>
      <w:pPr>
        <w:pStyle w:val="82"/>
        <w:pBdr>
          <w:top w:val="single" w:color="auto" w:sz="4" w:space="1"/>
          <w:left w:val="single" w:color="auto" w:sz="4" w:space="4"/>
          <w:bottom w:val="single" w:color="auto" w:sz="4" w:space="1"/>
          <w:right w:val="single" w:color="auto" w:sz="4" w:space="4"/>
        </w:pBdr>
      </w:pPr>
      <w:r>
        <w:t>At RLF/HO failure/CHO failure, the UE performs cell selection and if the selected cell is a CHO candidate then the UE attempts CHO execution, otherwise re-establishment is performed.</w:t>
      </w:r>
    </w:p>
    <w:p>
      <w:pPr>
        <w:pStyle w:val="82"/>
        <w:pBdr>
          <w:top w:val="single" w:color="auto" w:sz="4" w:space="1"/>
          <w:left w:val="single" w:color="auto" w:sz="4" w:space="4"/>
          <w:bottom w:val="single" w:color="auto" w:sz="4" w:space="1"/>
          <w:right w:val="single" w:color="auto" w:sz="4" w:space="4"/>
        </w:pBdr>
      </w:pPr>
      <w:r>
        <w:t>If the CHO performed during failure handling procedure fails, the UE will perform re-establishment, i.e. we do not allow multiple attempts of CHO during failure case.</w:t>
      </w:r>
    </w:p>
    <w:p>
      <w:pPr>
        <w:pStyle w:val="82"/>
        <w:pBdr>
          <w:top w:val="single" w:color="auto" w:sz="4" w:space="1"/>
          <w:left w:val="single" w:color="auto" w:sz="4" w:space="4"/>
          <w:bottom w:val="single" w:color="auto" w:sz="4" w:space="1"/>
          <w:right w:val="single" w:color="auto" w:sz="4" w:space="4"/>
        </w:pBdr>
      </w:pPr>
      <w:r>
        <w:t>FFS on how to capture it in specification;</w:t>
      </w:r>
    </w:p>
    <w:p>
      <w:pPr>
        <w:pStyle w:val="82"/>
        <w:pBdr>
          <w:top w:val="single" w:color="auto" w:sz="4" w:space="1"/>
          <w:left w:val="single" w:color="auto" w:sz="4" w:space="4"/>
          <w:bottom w:val="single" w:color="auto" w:sz="4" w:space="1"/>
          <w:right w:val="single" w:color="auto" w:sz="4" w:space="4"/>
        </w:pBdr>
      </w:pPr>
      <w:r>
        <w:rPr>
          <w:highlight w:val="yellow"/>
        </w:rPr>
        <w:t>If UE doesn’t support this capability, it does re-establishment (just as now). Network can configure what UE does</w:t>
      </w:r>
      <w:r>
        <w:t>.</w:t>
      </w:r>
    </w:p>
    <w:p>
      <w:pPr>
        <w:pStyle w:val="82"/>
        <w:pBdr>
          <w:top w:val="single" w:color="auto" w:sz="4" w:space="1"/>
          <w:left w:val="single" w:color="auto" w:sz="4" w:space="4"/>
          <w:bottom w:val="single" w:color="auto" w:sz="4" w:space="1"/>
          <w:right w:val="single" w:color="auto" w:sz="4" w:space="4"/>
        </w:pBdr>
      </w:pPr>
      <w:r>
        <w:rPr>
          <w:rFonts w:hint="eastAsia" w:eastAsia="宋体"/>
          <w:lang w:val="en-US" w:eastAsia="zh-CN"/>
        </w:rPr>
        <w:t>2.</w:t>
      </w:r>
      <w:r>
        <w:tab/>
      </w:r>
      <w:r>
        <w:t>Upon RLF/HOF the UE starts timer T311 and performs cell selection. Upon selecting a suitable cell while timer T311 is running the UE applies stored CHO configuration for that selected cell, if available; otherwise it performs re-establishment.</w:t>
      </w:r>
    </w:p>
    <w:p>
      <w:pPr>
        <w:rPr>
          <w:rFonts w:eastAsia="宋体"/>
        </w:rPr>
      </w:pPr>
      <w:r>
        <w:rPr>
          <w:rFonts w:hint="eastAsia" w:eastAsia="MS Mincho"/>
        </w:rPr>
        <w:t>Besides the NR_eMob WI, there</w:t>
      </w:r>
      <w:r>
        <w:rPr>
          <w:rFonts w:eastAsia="MS Mincho"/>
        </w:rPr>
        <w:t>’</w:t>
      </w:r>
      <w:r>
        <w:rPr>
          <w:rFonts w:hint="eastAsia" w:eastAsia="MS Mincho"/>
        </w:rPr>
        <w:t xml:space="preserve">s another R16 WI </w:t>
      </w:r>
      <w:r>
        <w:rPr>
          <w:rFonts w:eastAsia="MS Mincho"/>
        </w:rPr>
        <w:t>“</w:t>
      </w:r>
      <w:r>
        <w:rPr>
          <w:rFonts w:hint="eastAsia" w:eastAsia="MS Mincho"/>
        </w:rPr>
        <w:t>DC/CA enhancements</w:t>
      </w:r>
      <w:r>
        <w:rPr>
          <w:rFonts w:eastAsia="MS Mincho"/>
        </w:rPr>
        <w:t>”</w:t>
      </w:r>
      <w:r>
        <w:rPr>
          <w:rFonts w:hint="eastAsia" w:eastAsia="MS Mincho"/>
        </w:rPr>
        <w:t xml:space="preserve"> which also discusses the </w:t>
      </w:r>
      <w:r>
        <w:rPr>
          <w:rFonts w:hint="eastAsia" w:eastAsia="宋体"/>
        </w:rPr>
        <w:t>fast failure recovery</w:t>
      </w:r>
      <w:r>
        <w:rPr>
          <w:rFonts w:hint="eastAsia" w:eastAsia="MS Mincho"/>
        </w:rPr>
        <w:t xml:space="preserve"> related performance.</w:t>
      </w:r>
      <w:r>
        <w:rPr>
          <w:rFonts w:hint="eastAsia" w:eastAsia="宋体"/>
        </w:rPr>
        <w:t xml:space="preserve"> And some agreements for MCG fast recovery have been made at RAN2#105bis meeting [3] and RAN2#106 meeting [4]:</w:t>
      </w:r>
    </w:p>
    <w:p>
      <w:pPr>
        <w:pStyle w:val="82"/>
        <w:pBdr>
          <w:top w:val="single" w:color="auto" w:sz="4" w:space="1"/>
          <w:left w:val="single" w:color="auto" w:sz="4" w:space="4"/>
          <w:bottom w:val="single" w:color="auto" w:sz="4" w:space="1"/>
          <w:right w:val="single" w:color="auto" w:sz="4" w:space="4"/>
        </w:pBdr>
      </w:pPr>
      <w:r>
        <w:t>Agreements for MCG fast recovery:</w:t>
      </w:r>
    </w:p>
    <w:p>
      <w:pPr>
        <w:pStyle w:val="82"/>
        <w:pBdr>
          <w:top w:val="single" w:color="auto" w:sz="4" w:space="1"/>
          <w:left w:val="single" w:color="auto" w:sz="4" w:space="4"/>
          <w:bottom w:val="single" w:color="auto" w:sz="4" w:space="1"/>
          <w:right w:val="single" w:color="auto" w:sz="4" w:space="4"/>
        </w:pBdr>
      </w:pPr>
      <w:r>
        <w:t>0</w:t>
      </w:r>
      <w:r>
        <w:tab/>
      </w:r>
      <w:r>
        <w:t>MCG fast recovery targets all MRDC architecture options</w:t>
      </w:r>
    </w:p>
    <w:p>
      <w:pPr>
        <w:pStyle w:val="82"/>
        <w:pBdr>
          <w:top w:val="single" w:color="auto" w:sz="4" w:space="1"/>
          <w:left w:val="single" w:color="auto" w:sz="4" w:space="4"/>
          <w:bottom w:val="single" w:color="auto" w:sz="4" w:space="1"/>
          <w:right w:val="single" w:color="auto" w:sz="4" w:space="4"/>
        </w:pBdr>
      </w:pPr>
      <w:r>
        <w:t>1:</w:t>
      </w:r>
      <w:r>
        <w:tab/>
      </w:r>
      <w:r>
        <w:t>When MCG failure occurs, UE follows SCG failure-like procedure:</w:t>
      </w:r>
    </w:p>
    <w:p>
      <w:pPr>
        <w:pStyle w:val="82"/>
        <w:pBdr>
          <w:top w:val="single" w:color="auto" w:sz="4" w:space="1"/>
          <w:left w:val="single" w:color="auto" w:sz="4" w:space="4"/>
          <w:bottom w:val="single" w:color="auto" w:sz="4" w:space="1"/>
          <w:right w:val="single" w:color="auto" w:sz="4" w:space="4"/>
        </w:pBdr>
      </w:pPr>
      <w:r>
        <w:t>i.</w:t>
      </w:r>
      <w:r>
        <w:tab/>
      </w:r>
      <w:r>
        <w:t xml:space="preserve">UE does not trigger RRC connection re-establishment. </w:t>
      </w:r>
    </w:p>
    <w:p>
      <w:pPr>
        <w:pStyle w:val="82"/>
        <w:pBdr>
          <w:top w:val="single" w:color="auto" w:sz="4" w:space="1"/>
          <w:left w:val="single" w:color="auto" w:sz="4" w:space="4"/>
          <w:bottom w:val="single" w:color="auto" w:sz="4" w:space="1"/>
          <w:right w:val="single" w:color="auto" w:sz="4" w:space="4"/>
        </w:pBdr>
      </w:pPr>
      <w:r>
        <w:t>ii.</w:t>
      </w:r>
      <w:r>
        <w:tab/>
      </w:r>
      <w:r>
        <w:rPr>
          <w:highlight w:val="yellow"/>
        </w:rPr>
        <w:t>UE triggers an MCG failure procedure in which a failure information message is transmitted to the network via SCG.</w:t>
      </w:r>
    </w:p>
    <w:p>
      <w:pPr>
        <w:pStyle w:val="82"/>
        <w:pBdr>
          <w:top w:val="single" w:color="auto" w:sz="4" w:space="1"/>
          <w:left w:val="single" w:color="auto" w:sz="4" w:space="4"/>
          <w:bottom w:val="single" w:color="auto" w:sz="4" w:space="1"/>
          <w:right w:val="single" w:color="auto" w:sz="4" w:space="4"/>
        </w:pBdr>
        <w:rPr>
          <w:rFonts w:eastAsia="宋体"/>
          <w:lang w:val="en-US" w:eastAsia="zh-CN"/>
        </w:rPr>
      </w:pPr>
      <w:r>
        <w:t xml:space="preserve">2: </w:t>
      </w:r>
      <w:r>
        <w:tab/>
      </w:r>
      <w:r>
        <w:rPr>
          <w:highlight w:val="yellow"/>
        </w:rPr>
        <w:t>MCG fast recovery targets the following use cases MCG leg RLF</w:t>
      </w:r>
    </w:p>
    <w:p/>
    <w:p>
      <w:pPr>
        <w:pStyle w:val="82"/>
        <w:pBdr>
          <w:top w:val="single" w:color="auto" w:sz="4" w:space="1"/>
          <w:left w:val="single" w:color="auto" w:sz="4" w:space="4"/>
          <w:bottom w:val="single" w:color="auto" w:sz="4" w:space="1"/>
          <w:right w:val="single" w:color="auto" w:sz="4" w:space="4"/>
        </w:pBdr>
      </w:pPr>
      <w:r>
        <w:t xml:space="preserve">Agreements </w:t>
      </w:r>
    </w:p>
    <w:p>
      <w:pPr>
        <w:pStyle w:val="82"/>
        <w:pBdr>
          <w:top w:val="single" w:color="auto" w:sz="4" w:space="1"/>
          <w:left w:val="single" w:color="auto" w:sz="4" w:space="4"/>
          <w:bottom w:val="single" w:color="auto" w:sz="4" w:space="1"/>
          <w:right w:val="single" w:color="auto" w:sz="4" w:space="4"/>
        </w:pBdr>
      </w:pPr>
      <w:r>
        <w:t>FFS Whether a guard timer is needed for the MCG failure indication message</w:t>
      </w:r>
    </w:p>
    <w:p>
      <w:pPr>
        <w:pStyle w:val="82"/>
        <w:pBdr>
          <w:top w:val="single" w:color="auto" w:sz="4" w:space="1"/>
          <w:left w:val="single" w:color="auto" w:sz="4" w:space="4"/>
          <w:bottom w:val="single" w:color="auto" w:sz="4" w:space="1"/>
          <w:right w:val="single" w:color="auto" w:sz="4" w:space="4"/>
        </w:pBdr>
      </w:pPr>
      <w:r>
        <w:t>1</w:t>
      </w:r>
      <w:r>
        <w:tab/>
      </w:r>
      <w:r>
        <w:t>Once the MCG failure indication is triggered, the UE shall:</w:t>
      </w:r>
    </w:p>
    <w:p>
      <w:pPr>
        <w:pStyle w:val="82"/>
        <w:pBdr>
          <w:top w:val="single" w:color="auto" w:sz="4" w:space="1"/>
          <w:left w:val="single" w:color="auto" w:sz="4" w:space="4"/>
          <w:bottom w:val="single" w:color="auto" w:sz="4" w:space="1"/>
          <w:right w:val="single" w:color="auto" w:sz="4" w:space="4"/>
        </w:pBdr>
      </w:pPr>
      <w:r>
        <w:t>-</w:t>
      </w:r>
      <w:r>
        <w:tab/>
      </w:r>
      <w:r>
        <w:t>transmit the MCG failure indication;</w:t>
      </w:r>
    </w:p>
    <w:p>
      <w:pPr>
        <w:pStyle w:val="82"/>
        <w:pBdr>
          <w:top w:val="single" w:color="auto" w:sz="4" w:space="1"/>
          <w:left w:val="single" w:color="auto" w:sz="4" w:space="4"/>
          <w:bottom w:val="single" w:color="auto" w:sz="4" w:space="1"/>
          <w:right w:val="single" w:color="auto" w:sz="4" w:space="4"/>
        </w:pBdr>
      </w:pPr>
      <w:r>
        <w:t>−</w:t>
      </w:r>
      <w:r>
        <w:tab/>
      </w:r>
      <w:r>
        <w:t>suspend MCG transmission for all SRBs and DRBs;</w:t>
      </w:r>
    </w:p>
    <w:p>
      <w:pPr>
        <w:pStyle w:val="82"/>
        <w:pBdr>
          <w:top w:val="single" w:color="auto" w:sz="4" w:space="1"/>
          <w:left w:val="single" w:color="auto" w:sz="4" w:space="4"/>
          <w:bottom w:val="single" w:color="auto" w:sz="4" w:space="1"/>
          <w:right w:val="single" w:color="auto" w:sz="4" w:space="4"/>
        </w:pBdr>
      </w:pPr>
      <w:r>
        <w:t>−</w:t>
      </w:r>
      <w:r>
        <w:tab/>
      </w:r>
      <w:r>
        <w:t>reset MCG-MAC;</w:t>
      </w:r>
    </w:p>
    <w:p>
      <w:pPr>
        <w:pStyle w:val="82"/>
        <w:pBdr>
          <w:top w:val="single" w:color="auto" w:sz="4" w:space="1"/>
          <w:left w:val="single" w:color="auto" w:sz="4" w:space="4"/>
          <w:bottom w:val="single" w:color="auto" w:sz="4" w:space="1"/>
          <w:right w:val="single" w:color="auto" w:sz="4" w:space="4"/>
        </w:pBdr>
      </w:pPr>
      <w:r>
        <w:t>−</w:t>
      </w:r>
      <w:r>
        <w:tab/>
      </w:r>
      <w:r>
        <w:t>maintain the current measurement configurations from both the MN and the SN, and continue measurements based on configuration from the MN and the SN if possible.</w:t>
      </w:r>
    </w:p>
    <w:p>
      <w:pPr>
        <w:pStyle w:val="82"/>
        <w:pBdr>
          <w:top w:val="single" w:color="auto" w:sz="4" w:space="1"/>
          <w:left w:val="single" w:color="auto" w:sz="4" w:space="4"/>
          <w:bottom w:val="single" w:color="auto" w:sz="4" w:space="1"/>
          <w:right w:val="single" w:color="auto" w:sz="4" w:space="4"/>
        </w:pBdr>
      </w:pPr>
      <w:r>
        <w:t>FFS whether switch the primaryPath to SCG is needed</w:t>
      </w:r>
    </w:p>
    <w:p>
      <w:pPr>
        <w:pStyle w:val="82"/>
        <w:pBdr>
          <w:top w:val="single" w:color="auto" w:sz="4" w:space="1"/>
          <w:left w:val="single" w:color="auto" w:sz="4" w:space="4"/>
          <w:bottom w:val="single" w:color="auto" w:sz="4" w:space="1"/>
          <w:right w:val="single" w:color="auto" w:sz="4" w:space="4"/>
        </w:pBdr>
        <w:rPr>
          <w:highlight w:val="yellow"/>
        </w:rPr>
      </w:pPr>
      <w:r>
        <w:rPr>
          <w:highlight w:val="yellow"/>
        </w:rPr>
        <w:t>2</w:t>
      </w:r>
      <w:r>
        <w:rPr>
          <w:highlight w:val="yellow"/>
        </w:rPr>
        <w:tab/>
      </w:r>
      <w:r>
        <w:rPr>
          <w:highlight w:val="yellow"/>
        </w:rPr>
        <w:t xml:space="preserve">If SCG failure is detected while MCG is suspended then initiate RRC re-establishment procedure </w:t>
      </w:r>
    </w:p>
    <w:p>
      <w:pPr>
        <w:pStyle w:val="82"/>
        <w:pBdr>
          <w:top w:val="single" w:color="auto" w:sz="4" w:space="1"/>
          <w:left w:val="single" w:color="auto" w:sz="4" w:space="4"/>
          <w:bottom w:val="single" w:color="auto" w:sz="4" w:space="1"/>
          <w:right w:val="single" w:color="auto" w:sz="4" w:space="4"/>
        </w:pBdr>
      </w:pPr>
      <w:r>
        <w:t>3</w:t>
      </w:r>
      <w:r>
        <w:tab/>
      </w:r>
      <w:r>
        <w:t>Upon receiving the MCG failure indication, the MN sends reconfiguration with sync or RRC Release to the UE via SRB1.</w:t>
      </w:r>
    </w:p>
    <w:p>
      <w:pPr>
        <w:pStyle w:val="82"/>
        <w:pBdr>
          <w:top w:val="single" w:color="auto" w:sz="4" w:space="1"/>
          <w:left w:val="single" w:color="auto" w:sz="4" w:space="4"/>
          <w:bottom w:val="single" w:color="auto" w:sz="4" w:space="1"/>
          <w:right w:val="single" w:color="auto" w:sz="4" w:space="4"/>
        </w:pBdr>
      </w:pPr>
      <w:r>
        <w:t>4</w:t>
      </w:r>
      <w:r>
        <w:tab/>
      </w:r>
      <w:r>
        <w:t>Upon reception of reconfig with sync the UE resumes MCG transmission if suspended</w:t>
      </w:r>
    </w:p>
    <w:p>
      <w:pPr>
        <w:spacing w:before="156" w:beforeLines="50" w:line="260" w:lineRule="auto"/>
      </w:pPr>
      <w:r>
        <w:rPr>
          <w:rFonts w:hint="eastAsia"/>
        </w:rPr>
        <w:t xml:space="preserve">In this contribution, we discuss the fast RLF recovery in case both CHO and fast MCG recovery are configured for the UE.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p>
      <w:r>
        <w:rPr>
          <w:rFonts w:hint="eastAsia"/>
        </w:rPr>
        <w:t>Based on the agreements made in RAN2, once RLF is detected in MCG:</w:t>
      </w:r>
    </w:p>
    <w:p>
      <w:pPr>
        <w:numPr>
          <w:ilvl w:val="0"/>
          <w:numId w:val="4"/>
        </w:numPr>
      </w:pPr>
      <w:r>
        <w:rPr>
          <w:rFonts w:hint="eastAsia"/>
        </w:rPr>
        <w:t>If the network configured the UE to try CHO at the selected CHO candidate cell after RLF, UE performs cell selection and if the selected cell is a CHO candidate, then the UE attempts CHO execution, otherwise re-establishment is performed.</w:t>
      </w:r>
    </w:p>
    <w:p>
      <w:pPr>
        <w:numPr>
          <w:ilvl w:val="0"/>
          <w:numId w:val="4"/>
        </w:numPr>
      </w:pPr>
      <w:r>
        <w:rPr>
          <w:rFonts w:hint="eastAsia"/>
        </w:rPr>
        <w:t>If MCG fast recovery is configured, UE triggers an MCG fast recovery procedure in which a MCG failure information message is transmitted to the network via SCG.</w:t>
      </w:r>
    </w:p>
    <w:p>
      <w:r>
        <w:rPr>
          <w:rFonts w:hint="eastAsia"/>
        </w:rPr>
        <w:t>Since different behaviour is required for CHO and MCG fast recovery in case RLF is detected on MCG and both CHO based failure handling and MCG fast recovery can be configured simultaneously to one UE, the expected behaviour is not clear in case both CHO based failure handling and MCG fast recovery are configured and RLF is detected on MCG.</w:t>
      </w:r>
    </w:p>
    <w:p>
      <w:pPr>
        <w:rPr>
          <w:b/>
          <w:bCs/>
          <w:i/>
        </w:rPr>
      </w:pPr>
      <w:r>
        <w:rPr>
          <w:rFonts w:hint="eastAsia"/>
          <w:b/>
          <w:bCs/>
          <w:i/>
        </w:rPr>
        <w:t>Observation 1: The expected behaviour is not clear in case RLF is detected on MCG and both CHO based failure handling and MCG fast recovery are configured.</w:t>
      </w:r>
    </w:p>
    <w:p>
      <w:r>
        <w:rPr>
          <w:rFonts w:hint="eastAsia"/>
        </w:rPr>
        <w:t xml:space="preserve">In case RLF is detected, the issue is how to minimize the interruption time caused by the RLF. For the MCG fast recovery, the connection can be recovered once the RRC reconfiguration from MN is received through SCG, and the delay is mainly caused by the bidirectional transmission delay over SCG Uu interface, and the potential bidirectional X2/Xn transmission delay. For the CHO, the connection can be recovered if the selected cell is a CHO candidate cell, after cell selection. If there is stored candidate configuration for the cell selected, then the delay is mainly caused by the cell selection procedure. According to the requirement specified in 38.133 6.2.1.2, the delay caused by cell selection can be hundreds of ms (i.e. </w:t>
      </w:r>
      <w:r>
        <w:t xml:space="preserve">it </w:t>
      </w:r>
      <w:r>
        <w:rPr>
          <w:rFonts w:hint="eastAsia"/>
        </w:rPr>
        <w:t>depend</w:t>
      </w:r>
      <w:r>
        <w:t>s</w:t>
      </w:r>
      <w:r>
        <w:rPr>
          <w:rFonts w:hint="eastAsia"/>
        </w:rPr>
        <w:t xml:space="preserve"> on the </w:t>
      </w:r>
      <w:r>
        <w:rPr>
          <w:lang w:eastAsia="ko-KR"/>
        </w:rPr>
        <w:t>T</w:t>
      </w:r>
      <w:r>
        <w:rPr>
          <w:vertAlign w:val="subscript"/>
          <w:lang w:eastAsia="ko-KR"/>
        </w:rPr>
        <w:t>identify_intra_NR</w:t>
      </w:r>
      <w:r>
        <w:rPr>
          <w:rFonts w:hint="eastAsia"/>
          <w:vertAlign w:val="subscript"/>
        </w:rPr>
        <w:t xml:space="preserve"> </w:t>
      </w:r>
      <w:r>
        <w:rPr>
          <w:rFonts w:hint="eastAsia"/>
        </w:rPr>
        <w:t xml:space="preserve">and </w:t>
      </w:r>
      <w:r>
        <w:rPr>
          <w:lang w:eastAsia="ko-KR"/>
        </w:rPr>
        <w:t>T</w:t>
      </w:r>
      <w:r>
        <w:rPr>
          <w:vertAlign w:val="subscript"/>
          <w:lang w:eastAsia="ko-KR"/>
        </w:rPr>
        <w:t>identify_inter_NR,i</w:t>
      </w:r>
      <w:r>
        <w:rPr>
          <w:rFonts w:hint="eastAsia"/>
        </w:rPr>
        <w:t xml:space="preserve">). </w:t>
      </w:r>
      <w:r>
        <w:t>There is</w:t>
      </w:r>
      <w:r>
        <w:rPr>
          <w:rFonts w:hint="eastAsia"/>
        </w:rPr>
        <w:t xml:space="preserve"> the possibility that a cell without candidate configuration can also be selected in the cell selection, in which case the delay will be much larger than the </w:t>
      </w:r>
      <w:bookmarkStart w:id="4" w:name="_GoBack"/>
      <w:bookmarkEnd w:id="4"/>
      <w:r>
        <w:rPr>
          <w:rFonts w:hint="eastAsia"/>
        </w:rPr>
        <w:t>MCG fast recovery procedure.</w:t>
      </w:r>
    </w:p>
    <w:p>
      <w:r>
        <w:rPr>
          <w:rFonts w:hint="eastAsia"/>
        </w:rPr>
        <w:t xml:space="preserve">Based on the analysis above, we think the delay caused by MCG fast recovery is more predictable, and will be smaller in more cases. Thus we </w:t>
      </w:r>
      <w:r>
        <w:t>provide</w:t>
      </w:r>
      <w:r>
        <w:rPr>
          <w:rFonts w:hint="eastAsia"/>
        </w:rPr>
        <w:t xml:space="preserve"> our proposal as follows:</w:t>
      </w:r>
    </w:p>
    <w:p>
      <w:pPr>
        <w:rPr>
          <w:b/>
          <w:bCs/>
        </w:rPr>
      </w:pPr>
      <w:r>
        <w:rPr>
          <w:rFonts w:hint="eastAsia"/>
          <w:b/>
          <w:bCs/>
        </w:rPr>
        <w:t>Proposal 1: In case RLF is detected on MCG and both CHO based failure handling and MCG fast recovery are configured, the UE should process MCG fast recovery procedure first. If RRC reestablishment is triggered due to the failure of MCG fast recovery, the UE performs cell selection and if the selected cell is a CHO candidate, then the UE attempts CHO execution, otherwise re-establishment is performed.</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In this contribution,</w:t>
      </w:r>
      <w:r>
        <w:rPr>
          <w:rFonts w:hint="eastAsia"/>
        </w:rPr>
        <w:t xml:space="preserve"> we discuss</w:t>
      </w:r>
      <w:r>
        <w:t>ed</w:t>
      </w:r>
      <w:r>
        <w:rPr>
          <w:rFonts w:hint="eastAsia"/>
        </w:rPr>
        <w:t xml:space="preserve"> the fast RLF recovery in case both CHO based failure handling and MCG fast recovery are configured for the UE with the following proposals:</w:t>
      </w:r>
    </w:p>
    <w:p>
      <w:pPr>
        <w:rPr>
          <w:b/>
          <w:bCs/>
          <w:i/>
        </w:rPr>
      </w:pPr>
      <w:r>
        <w:rPr>
          <w:rFonts w:hint="eastAsia"/>
          <w:b/>
          <w:bCs/>
          <w:i/>
        </w:rPr>
        <w:t>Observation 1: The expected behaviour is not clear in case RLF is detected on MCG and both CHO based failure handling and MCG fast recovery are configured.</w:t>
      </w:r>
    </w:p>
    <w:p>
      <w:pPr>
        <w:rPr>
          <w:b/>
          <w:bCs/>
        </w:rPr>
      </w:pPr>
      <w:r>
        <w:rPr>
          <w:rFonts w:hint="eastAsia"/>
          <w:b/>
          <w:bCs/>
        </w:rPr>
        <w:t>Proposal 1: In case RLF is detected on MCG and both CHO based failure handling and MCG fast recovery are configured, the UE should process MCG fast recovery procedure first. If RRC reestablishment is triggered due to the failure of MCG fast recovery, the UE performs cell selection and if the selected cell is a CHO candidate, then the UE attempts CHO execution, otherwise re-establishment is performed.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5"/>
        </w:numPr>
      </w:pPr>
      <w:bookmarkStart w:id="3" w:name="_Ref27758"/>
      <w:r>
        <w:rPr>
          <w:rFonts w:hint="eastAsia"/>
        </w:rPr>
        <w:t>R</w:t>
      </w:r>
      <w:bookmarkEnd w:id="3"/>
      <w:r>
        <w:rPr>
          <w:rFonts w:hint="eastAsia"/>
        </w:rPr>
        <w:t>AN2#107bis meeting chairman notes.</w:t>
      </w:r>
    </w:p>
    <w:p>
      <w:pPr>
        <w:numPr>
          <w:ilvl w:val="0"/>
          <w:numId w:val="5"/>
        </w:numPr>
      </w:pPr>
      <w:r>
        <w:rPr>
          <w:rFonts w:hint="eastAsia"/>
        </w:rPr>
        <w:t>RAN2#108 meeting chairman notes.</w:t>
      </w:r>
    </w:p>
    <w:p>
      <w:pPr>
        <w:numPr>
          <w:ilvl w:val="0"/>
          <w:numId w:val="5"/>
        </w:numPr>
      </w:pPr>
      <w:r>
        <w:rPr>
          <w:rFonts w:hint="eastAsia"/>
        </w:rPr>
        <w:t>RAN2#105bis meeting chairman notes.</w:t>
      </w:r>
    </w:p>
    <w:p>
      <w:pPr>
        <w:numPr>
          <w:ilvl w:val="0"/>
          <w:numId w:val="5"/>
        </w:numPr>
      </w:pPr>
      <w:r>
        <w:rPr>
          <w:rFonts w:hint="eastAsia"/>
        </w:rPr>
        <w:t>RAN2#106 meeting chairman notes.</w:t>
      </w:r>
    </w:p>
    <w:p/>
    <w:p/>
    <w:p>
      <w:pPr>
        <w:rPr>
          <w:b/>
          <w:bCs/>
          <w:lang w:val="en-GB"/>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Batang">
    <w:panose1 w:val="02030600000101010101"/>
    <w:charset w:val="81"/>
    <w:family w:val="auto"/>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STFangsong">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D3D26"/>
    <w:multiLevelType w:val="singleLevel"/>
    <w:tmpl w:val="AB3D3D26"/>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387CB2A"/>
    <w:multiLevelType w:val="singleLevel"/>
    <w:tmpl w:val="2387CB2A"/>
    <w:lvl w:ilvl="0" w:tentative="0">
      <w:start w:val="1"/>
      <w:numFmt w:val="bullet"/>
      <w:lvlText w:val=""/>
      <w:lvlJc w:val="left"/>
      <w:pPr>
        <w:ind w:left="420" w:hanging="420"/>
      </w:pPr>
      <w:rPr>
        <w:rFonts w:hint="default" w:ascii="Wingdings" w:hAnsi="Wingdings"/>
      </w:r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8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4D75"/>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4400F"/>
    <w:rsid w:val="000563ED"/>
    <w:rsid w:val="000569AB"/>
    <w:rsid w:val="00060180"/>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E3C54"/>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389D"/>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384B"/>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2C1A"/>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EA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12CE"/>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17E"/>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46D"/>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67D7"/>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9E7"/>
    <w:rsid w:val="00FE2161"/>
    <w:rsid w:val="00FE58B6"/>
    <w:rsid w:val="00FE7430"/>
    <w:rsid w:val="00FF0471"/>
    <w:rsid w:val="00FF0AAD"/>
    <w:rsid w:val="00FF29CE"/>
    <w:rsid w:val="00FF2E7C"/>
    <w:rsid w:val="00FF2EAF"/>
    <w:rsid w:val="00FF33F4"/>
    <w:rsid w:val="01131166"/>
    <w:rsid w:val="016210DF"/>
    <w:rsid w:val="0165600B"/>
    <w:rsid w:val="016E3B27"/>
    <w:rsid w:val="01767489"/>
    <w:rsid w:val="0185508D"/>
    <w:rsid w:val="018D4E10"/>
    <w:rsid w:val="01910DD3"/>
    <w:rsid w:val="01920B2D"/>
    <w:rsid w:val="01943782"/>
    <w:rsid w:val="01977F6A"/>
    <w:rsid w:val="01A46D0E"/>
    <w:rsid w:val="01A5265A"/>
    <w:rsid w:val="01AC40BD"/>
    <w:rsid w:val="01AE3B73"/>
    <w:rsid w:val="01AF7A72"/>
    <w:rsid w:val="01B13560"/>
    <w:rsid w:val="01BE26E7"/>
    <w:rsid w:val="01C05D49"/>
    <w:rsid w:val="01C66A3F"/>
    <w:rsid w:val="01EE78D1"/>
    <w:rsid w:val="02017286"/>
    <w:rsid w:val="02115596"/>
    <w:rsid w:val="0212463B"/>
    <w:rsid w:val="02142423"/>
    <w:rsid w:val="02145888"/>
    <w:rsid w:val="021627D8"/>
    <w:rsid w:val="022D295E"/>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AB2083"/>
    <w:rsid w:val="02BA02BA"/>
    <w:rsid w:val="02C62E55"/>
    <w:rsid w:val="02E712F2"/>
    <w:rsid w:val="02E968F1"/>
    <w:rsid w:val="03202434"/>
    <w:rsid w:val="0347521D"/>
    <w:rsid w:val="035A5498"/>
    <w:rsid w:val="035B5483"/>
    <w:rsid w:val="036C3B3B"/>
    <w:rsid w:val="037175E3"/>
    <w:rsid w:val="03857386"/>
    <w:rsid w:val="03892EFE"/>
    <w:rsid w:val="039A2405"/>
    <w:rsid w:val="039A4F82"/>
    <w:rsid w:val="039A7700"/>
    <w:rsid w:val="03BD31AF"/>
    <w:rsid w:val="03BE00C0"/>
    <w:rsid w:val="03D52450"/>
    <w:rsid w:val="03D6008D"/>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63FA"/>
    <w:rsid w:val="046F1C6A"/>
    <w:rsid w:val="047034F5"/>
    <w:rsid w:val="04754B65"/>
    <w:rsid w:val="04861082"/>
    <w:rsid w:val="048A123B"/>
    <w:rsid w:val="048C5BD9"/>
    <w:rsid w:val="0497212E"/>
    <w:rsid w:val="04996B65"/>
    <w:rsid w:val="04EB5671"/>
    <w:rsid w:val="04ED36E0"/>
    <w:rsid w:val="04FB5FD2"/>
    <w:rsid w:val="050C31AF"/>
    <w:rsid w:val="05174168"/>
    <w:rsid w:val="051E36E6"/>
    <w:rsid w:val="053166CA"/>
    <w:rsid w:val="05332C41"/>
    <w:rsid w:val="054C7D3F"/>
    <w:rsid w:val="054D4214"/>
    <w:rsid w:val="05526E77"/>
    <w:rsid w:val="056D39BD"/>
    <w:rsid w:val="056E3D04"/>
    <w:rsid w:val="058267E3"/>
    <w:rsid w:val="058442CB"/>
    <w:rsid w:val="05B21BDC"/>
    <w:rsid w:val="05D1713F"/>
    <w:rsid w:val="05D92123"/>
    <w:rsid w:val="05E024B6"/>
    <w:rsid w:val="05F13BE9"/>
    <w:rsid w:val="05F178AC"/>
    <w:rsid w:val="06017A73"/>
    <w:rsid w:val="06022874"/>
    <w:rsid w:val="060A555D"/>
    <w:rsid w:val="06136726"/>
    <w:rsid w:val="06293C52"/>
    <w:rsid w:val="063F71ED"/>
    <w:rsid w:val="06406186"/>
    <w:rsid w:val="0655413E"/>
    <w:rsid w:val="06577E85"/>
    <w:rsid w:val="0665683F"/>
    <w:rsid w:val="066F0DC7"/>
    <w:rsid w:val="067851DF"/>
    <w:rsid w:val="067D648F"/>
    <w:rsid w:val="067F0396"/>
    <w:rsid w:val="069621D1"/>
    <w:rsid w:val="069E5DC0"/>
    <w:rsid w:val="069F3235"/>
    <w:rsid w:val="06A360A6"/>
    <w:rsid w:val="06AF5E97"/>
    <w:rsid w:val="06BB3C62"/>
    <w:rsid w:val="06CC4C2E"/>
    <w:rsid w:val="06CE3E32"/>
    <w:rsid w:val="06D97CA7"/>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7C3544"/>
    <w:rsid w:val="078158EA"/>
    <w:rsid w:val="07843668"/>
    <w:rsid w:val="07847AEC"/>
    <w:rsid w:val="079368A6"/>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204B1C"/>
    <w:rsid w:val="0A2E5DB1"/>
    <w:rsid w:val="0A2F46DB"/>
    <w:rsid w:val="0A337541"/>
    <w:rsid w:val="0A386426"/>
    <w:rsid w:val="0A39155B"/>
    <w:rsid w:val="0A4E1BB6"/>
    <w:rsid w:val="0A51312B"/>
    <w:rsid w:val="0A575370"/>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841D8"/>
    <w:rsid w:val="0B625907"/>
    <w:rsid w:val="0B6D671D"/>
    <w:rsid w:val="0B800594"/>
    <w:rsid w:val="0B833CB9"/>
    <w:rsid w:val="0B8459A2"/>
    <w:rsid w:val="0BA01E5E"/>
    <w:rsid w:val="0BA40793"/>
    <w:rsid w:val="0BB77542"/>
    <w:rsid w:val="0BC1136C"/>
    <w:rsid w:val="0BC87CC9"/>
    <w:rsid w:val="0BCB4A99"/>
    <w:rsid w:val="0BD9718B"/>
    <w:rsid w:val="0BE64BE6"/>
    <w:rsid w:val="0BEA1A76"/>
    <w:rsid w:val="0BEB698D"/>
    <w:rsid w:val="0BF4523A"/>
    <w:rsid w:val="0C022CD6"/>
    <w:rsid w:val="0C0F2FEF"/>
    <w:rsid w:val="0C115C01"/>
    <w:rsid w:val="0C21687B"/>
    <w:rsid w:val="0C221921"/>
    <w:rsid w:val="0C2B7B6C"/>
    <w:rsid w:val="0C35257F"/>
    <w:rsid w:val="0C4E0C6C"/>
    <w:rsid w:val="0C5C4277"/>
    <w:rsid w:val="0C70637B"/>
    <w:rsid w:val="0C710975"/>
    <w:rsid w:val="0C7A6655"/>
    <w:rsid w:val="0C7D69BF"/>
    <w:rsid w:val="0CB47222"/>
    <w:rsid w:val="0CB5613D"/>
    <w:rsid w:val="0CCA31B6"/>
    <w:rsid w:val="0CCE60AE"/>
    <w:rsid w:val="0CD65888"/>
    <w:rsid w:val="0CE2368A"/>
    <w:rsid w:val="0CE55396"/>
    <w:rsid w:val="0CF31DF7"/>
    <w:rsid w:val="0CF40AF8"/>
    <w:rsid w:val="0D067AC3"/>
    <w:rsid w:val="0D2C3BFA"/>
    <w:rsid w:val="0D4618D1"/>
    <w:rsid w:val="0D470E01"/>
    <w:rsid w:val="0D5412D9"/>
    <w:rsid w:val="0D541FF2"/>
    <w:rsid w:val="0D563E1D"/>
    <w:rsid w:val="0D5D28E6"/>
    <w:rsid w:val="0D651FC1"/>
    <w:rsid w:val="0D6D666D"/>
    <w:rsid w:val="0D6E7297"/>
    <w:rsid w:val="0D7545AF"/>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4D26CC"/>
    <w:rsid w:val="0E560EFD"/>
    <w:rsid w:val="0E6A01E6"/>
    <w:rsid w:val="0E8C09CF"/>
    <w:rsid w:val="0E8D03D6"/>
    <w:rsid w:val="0E930DC4"/>
    <w:rsid w:val="0EA41BE0"/>
    <w:rsid w:val="0EAD2320"/>
    <w:rsid w:val="0EC509E4"/>
    <w:rsid w:val="0ECA6174"/>
    <w:rsid w:val="0ECC22F2"/>
    <w:rsid w:val="0ED4677A"/>
    <w:rsid w:val="0ED64E1A"/>
    <w:rsid w:val="0EDC06F9"/>
    <w:rsid w:val="0EE1071D"/>
    <w:rsid w:val="0EF05D44"/>
    <w:rsid w:val="0EFD6649"/>
    <w:rsid w:val="0EFF4DCA"/>
    <w:rsid w:val="0F0869CE"/>
    <w:rsid w:val="0F0F0B31"/>
    <w:rsid w:val="0F1028FC"/>
    <w:rsid w:val="0F13714E"/>
    <w:rsid w:val="0F1B123C"/>
    <w:rsid w:val="0F217358"/>
    <w:rsid w:val="0F2532AC"/>
    <w:rsid w:val="0F2D7AB0"/>
    <w:rsid w:val="0F366236"/>
    <w:rsid w:val="0F3D7225"/>
    <w:rsid w:val="0F424B0D"/>
    <w:rsid w:val="0F4501A0"/>
    <w:rsid w:val="0F4A1CDE"/>
    <w:rsid w:val="0F4A7E65"/>
    <w:rsid w:val="0F557405"/>
    <w:rsid w:val="0F5626C1"/>
    <w:rsid w:val="0F63349B"/>
    <w:rsid w:val="0F634273"/>
    <w:rsid w:val="0F790B07"/>
    <w:rsid w:val="0F7F7301"/>
    <w:rsid w:val="0F847A92"/>
    <w:rsid w:val="0F99304D"/>
    <w:rsid w:val="0F9D3AE8"/>
    <w:rsid w:val="0FB52E3F"/>
    <w:rsid w:val="0FBF7F6A"/>
    <w:rsid w:val="0FCC249F"/>
    <w:rsid w:val="0FD97329"/>
    <w:rsid w:val="0FDD3ABD"/>
    <w:rsid w:val="0FDD41C9"/>
    <w:rsid w:val="0FDE34CC"/>
    <w:rsid w:val="0FFC2B88"/>
    <w:rsid w:val="0FFD42FF"/>
    <w:rsid w:val="10144ACE"/>
    <w:rsid w:val="10192E34"/>
    <w:rsid w:val="10220ACB"/>
    <w:rsid w:val="10324C94"/>
    <w:rsid w:val="103E1201"/>
    <w:rsid w:val="104177FA"/>
    <w:rsid w:val="105553B4"/>
    <w:rsid w:val="105F2701"/>
    <w:rsid w:val="105F3355"/>
    <w:rsid w:val="10633DE5"/>
    <w:rsid w:val="106C51AC"/>
    <w:rsid w:val="1085601B"/>
    <w:rsid w:val="10870262"/>
    <w:rsid w:val="10993A5B"/>
    <w:rsid w:val="109C7E53"/>
    <w:rsid w:val="109D01C9"/>
    <w:rsid w:val="109E5C77"/>
    <w:rsid w:val="10A15BAF"/>
    <w:rsid w:val="10A54549"/>
    <w:rsid w:val="10AD1F54"/>
    <w:rsid w:val="10B20497"/>
    <w:rsid w:val="10B2230B"/>
    <w:rsid w:val="10BA6965"/>
    <w:rsid w:val="10D80BBB"/>
    <w:rsid w:val="10DC7FF8"/>
    <w:rsid w:val="110651DD"/>
    <w:rsid w:val="110A40E9"/>
    <w:rsid w:val="11186F4B"/>
    <w:rsid w:val="112A395D"/>
    <w:rsid w:val="112C68E5"/>
    <w:rsid w:val="11407272"/>
    <w:rsid w:val="114E07E1"/>
    <w:rsid w:val="115246AD"/>
    <w:rsid w:val="11545E44"/>
    <w:rsid w:val="116C5EAE"/>
    <w:rsid w:val="116F5D3F"/>
    <w:rsid w:val="1186675B"/>
    <w:rsid w:val="1188273A"/>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81311E"/>
    <w:rsid w:val="129137BD"/>
    <w:rsid w:val="12AB4AA1"/>
    <w:rsid w:val="12D86D99"/>
    <w:rsid w:val="12EF1DC3"/>
    <w:rsid w:val="12EF741A"/>
    <w:rsid w:val="12F254D0"/>
    <w:rsid w:val="12F3239A"/>
    <w:rsid w:val="12FE42D6"/>
    <w:rsid w:val="130A5E23"/>
    <w:rsid w:val="131C3CE3"/>
    <w:rsid w:val="131D5C4A"/>
    <w:rsid w:val="132A76BE"/>
    <w:rsid w:val="13353240"/>
    <w:rsid w:val="13611100"/>
    <w:rsid w:val="136345D4"/>
    <w:rsid w:val="1365208E"/>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60F2C35"/>
    <w:rsid w:val="16203964"/>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E580D"/>
    <w:rsid w:val="17D83819"/>
    <w:rsid w:val="17F60521"/>
    <w:rsid w:val="17FF4999"/>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306452"/>
    <w:rsid w:val="19352F90"/>
    <w:rsid w:val="194452C6"/>
    <w:rsid w:val="19447EB2"/>
    <w:rsid w:val="19471E13"/>
    <w:rsid w:val="194A689A"/>
    <w:rsid w:val="194E56C4"/>
    <w:rsid w:val="19684F1E"/>
    <w:rsid w:val="19694733"/>
    <w:rsid w:val="1991092A"/>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57BF9"/>
    <w:rsid w:val="1ABA705B"/>
    <w:rsid w:val="1AC97242"/>
    <w:rsid w:val="1ACC76E0"/>
    <w:rsid w:val="1ACF27B9"/>
    <w:rsid w:val="1AD27A8D"/>
    <w:rsid w:val="1AD41D2D"/>
    <w:rsid w:val="1AD7515E"/>
    <w:rsid w:val="1AD8130A"/>
    <w:rsid w:val="1AE93C9B"/>
    <w:rsid w:val="1AF21DA7"/>
    <w:rsid w:val="1B0D4A08"/>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2568B"/>
    <w:rsid w:val="1C161A83"/>
    <w:rsid w:val="1C1C4D13"/>
    <w:rsid w:val="1C296C3D"/>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A7433"/>
    <w:rsid w:val="1CCE78A2"/>
    <w:rsid w:val="1CD75D57"/>
    <w:rsid w:val="1CDC087A"/>
    <w:rsid w:val="1CF524F9"/>
    <w:rsid w:val="1CFB474C"/>
    <w:rsid w:val="1D052D81"/>
    <w:rsid w:val="1D110690"/>
    <w:rsid w:val="1D111ED4"/>
    <w:rsid w:val="1D1E5C67"/>
    <w:rsid w:val="1D2C43C8"/>
    <w:rsid w:val="1D335855"/>
    <w:rsid w:val="1D3507AD"/>
    <w:rsid w:val="1D3F4F0A"/>
    <w:rsid w:val="1D4A374F"/>
    <w:rsid w:val="1D6747F5"/>
    <w:rsid w:val="1D702483"/>
    <w:rsid w:val="1D7B7BDF"/>
    <w:rsid w:val="1D7C0AC5"/>
    <w:rsid w:val="1D812F92"/>
    <w:rsid w:val="1D850034"/>
    <w:rsid w:val="1D8B6EC0"/>
    <w:rsid w:val="1DA70EBB"/>
    <w:rsid w:val="1DAF4844"/>
    <w:rsid w:val="1DB15797"/>
    <w:rsid w:val="1DC43BC4"/>
    <w:rsid w:val="1DCC34E5"/>
    <w:rsid w:val="1DCF2EDB"/>
    <w:rsid w:val="1DDE47B5"/>
    <w:rsid w:val="1DFD5D66"/>
    <w:rsid w:val="1E1C0F23"/>
    <w:rsid w:val="1E1D3350"/>
    <w:rsid w:val="1E2D3856"/>
    <w:rsid w:val="1E2E6394"/>
    <w:rsid w:val="1E4C7C99"/>
    <w:rsid w:val="1E6E29BC"/>
    <w:rsid w:val="1E721FE6"/>
    <w:rsid w:val="1E842EE0"/>
    <w:rsid w:val="1E874B3D"/>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F3B44"/>
    <w:rsid w:val="1FA042BC"/>
    <w:rsid w:val="1FAD75BF"/>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236E7B"/>
    <w:rsid w:val="212D6E70"/>
    <w:rsid w:val="21325170"/>
    <w:rsid w:val="213C4E2F"/>
    <w:rsid w:val="213D0E8C"/>
    <w:rsid w:val="2140662B"/>
    <w:rsid w:val="214C3CD5"/>
    <w:rsid w:val="215A2AFE"/>
    <w:rsid w:val="215F458F"/>
    <w:rsid w:val="21711085"/>
    <w:rsid w:val="217228C9"/>
    <w:rsid w:val="218E0201"/>
    <w:rsid w:val="21926F6C"/>
    <w:rsid w:val="21936236"/>
    <w:rsid w:val="219A7482"/>
    <w:rsid w:val="21A71340"/>
    <w:rsid w:val="21AE7BDE"/>
    <w:rsid w:val="21B13AA1"/>
    <w:rsid w:val="21B24080"/>
    <w:rsid w:val="21BF67E6"/>
    <w:rsid w:val="21C051BE"/>
    <w:rsid w:val="21C268DE"/>
    <w:rsid w:val="21D061B3"/>
    <w:rsid w:val="21D24CF4"/>
    <w:rsid w:val="21DE47CF"/>
    <w:rsid w:val="21FA7C76"/>
    <w:rsid w:val="21FB378E"/>
    <w:rsid w:val="22086DD5"/>
    <w:rsid w:val="220D602F"/>
    <w:rsid w:val="221122B7"/>
    <w:rsid w:val="221335D5"/>
    <w:rsid w:val="221803B8"/>
    <w:rsid w:val="223F2906"/>
    <w:rsid w:val="22460F19"/>
    <w:rsid w:val="226F2366"/>
    <w:rsid w:val="227167CA"/>
    <w:rsid w:val="22727FD0"/>
    <w:rsid w:val="22805B8B"/>
    <w:rsid w:val="228135D1"/>
    <w:rsid w:val="2281465F"/>
    <w:rsid w:val="22A13519"/>
    <w:rsid w:val="22B23E9D"/>
    <w:rsid w:val="22C54E5E"/>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F2220"/>
    <w:rsid w:val="254816C3"/>
    <w:rsid w:val="254A0730"/>
    <w:rsid w:val="255F10C9"/>
    <w:rsid w:val="25603261"/>
    <w:rsid w:val="2571416C"/>
    <w:rsid w:val="25752C02"/>
    <w:rsid w:val="25820624"/>
    <w:rsid w:val="25861D75"/>
    <w:rsid w:val="258C3B72"/>
    <w:rsid w:val="258D6CA4"/>
    <w:rsid w:val="258F4D88"/>
    <w:rsid w:val="259C6706"/>
    <w:rsid w:val="25A537C9"/>
    <w:rsid w:val="25A937E3"/>
    <w:rsid w:val="25A97B32"/>
    <w:rsid w:val="25AE239D"/>
    <w:rsid w:val="25B35FA5"/>
    <w:rsid w:val="25CE0B3E"/>
    <w:rsid w:val="25CF30BA"/>
    <w:rsid w:val="25D87AE6"/>
    <w:rsid w:val="25E71F78"/>
    <w:rsid w:val="25EA75FB"/>
    <w:rsid w:val="25EB1A7A"/>
    <w:rsid w:val="26033C65"/>
    <w:rsid w:val="26081BF8"/>
    <w:rsid w:val="260C58C5"/>
    <w:rsid w:val="26103B59"/>
    <w:rsid w:val="261F28E2"/>
    <w:rsid w:val="26264554"/>
    <w:rsid w:val="263235F5"/>
    <w:rsid w:val="26333A29"/>
    <w:rsid w:val="26351784"/>
    <w:rsid w:val="26392AAE"/>
    <w:rsid w:val="26427A28"/>
    <w:rsid w:val="26525ABF"/>
    <w:rsid w:val="26574E2B"/>
    <w:rsid w:val="265826A7"/>
    <w:rsid w:val="267056BF"/>
    <w:rsid w:val="2682002D"/>
    <w:rsid w:val="268426E2"/>
    <w:rsid w:val="26871BB0"/>
    <w:rsid w:val="268D61F7"/>
    <w:rsid w:val="26915CA2"/>
    <w:rsid w:val="26BF485A"/>
    <w:rsid w:val="26C3055F"/>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46913"/>
    <w:rsid w:val="2775446F"/>
    <w:rsid w:val="278B2D28"/>
    <w:rsid w:val="27947308"/>
    <w:rsid w:val="2796033D"/>
    <w:rsid w:val="27B60AFD"/>
    <w:rsid w:val="27B914E9"/>
    <w:rsid w:val="27C435E3"/>
    <w:rsid w:val="27CD2E52"/>
    <w:rsid w:val="27D47C66"/>
    <w:rsid w:val="27D543DF"/>
    <w:rsid w:val="27E951EF"/>
    <w:rsid w:val="27EF2A5E"/>
    <w:rsid w:val="27F2325D"/>
    <w:rsid w:val="27F97D3B"/>
    <w:rsid w:val="28014AB4"/>
    <w:rsid w:val="28043BB2"/>
    <w:rsid w:val="28065FAE"/>
    <w:rsid w:val="280B5681"/>
    <w:rsid w:val="280D46CF"/>
    <w:rsid w:val="28246110"/>
    <w:rsid w:val="28285D3D"/>
    <w:rsid w:val="282865B0"/>
    <w:rsid w:val="28377CB6"/>
    <w:rsid w:val="284566E9"/>
    <w:rsid w:val="285577BE"/>
    <w:rsid w:val="285C5977"/>
    <w:rsid w:val="286D5A52"/>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5011C"/>
    <w:rsid w:val="29291D27"/>
    <w:rsid w:val="29307A64"/>
    <w:rsid w:val="29334E58"/>
    <w:rsid w:val="29342C80"/>
    <w:rsid w:val="294D1445"/>
    <w:rsid w:val="296D72E7"/>
    <w:rsid w:val="297C4F1B"/>
    <w:rsid w:val="29841FF1"/>
    <w:rsid w:val="299159E7"/>
    <w:rsid w:val="29BD1A42"/>
    <w:rsid w:val="29C562CC"/>
    <w:rsid w:val="29C90D98"/>
    <w:rsid w:val="29E522F6"/>
    <w:rsid w:val="29F50DAE"/>
    <w:rsid w:val="29F8715D"/>
    <w:rsid w:val="2A030B0B"/>
    <w:rsid w:val="2A0857F5"/>
    <w:rsid w:val="2A0C1ECE"/>
    <w:rsid w:val="2A0D2B92"/>
    <w:rsid w:val="2A32766A"/>
    <w:rsid w:val="2A363620"/>
    <w:rsid w:val="2A4006A0"/>
    <w:rsid w:val="2A404777"/>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D56F26"/>
    <w:rsid w:val="2AFE3B79"/>
    <w:rsid w:val="2B03259E"/>
    <w:rsid w:val="2B034049"/>
    <w:rsid w:val="2B041CD4"/>
    <w:rsid w:val="2B056B48"/>
    <w:rsid w:val="2B155F4A"/>
    <w:rsid w:val="2B181DBF"/>
    <w:rsid w:val="2B242CD3"/>
    <w:rsid w:val="2B2A271C"/>
    <w:rsid w:val="2B2C43D0"/>
    <w:rsid w:val="2B325D8C"/>
    <w:rsid w:val="2B3541C6"/>
    <w:rsid w:val="2B397288"/>
    <w:rsid w:val="2B3F3060"/>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232156"/>
    <w:rsid w:val="2C253560"/>
    <w:rsid w:val="2C295909"/>
    <w:rsid w:val="2C334998"/>
    <w:rsid w:val="2C35122A"/>
    <w:rsid w:val="2C364299"/>
    <w:rsid w:val="2C486C9F"/>
    <w:rsid w:val="2C5437C3"/>
    <w:rsid w:val="2C594D81"/>
    <w:rsid w:val="2C5C42D2"/>
    <w:rsid w:val="2C620297"/>
    <w:rsid w:val="2C6E5DD6"/>
    <w:rsid w:val="2C73035A"/>
    <w:rsid w:val="2C7E4A99"/>
    <w:rsid w:val="2C7E5F6C"/>
    <w:rsid w:val="2C831780"/>
    <w:rsid w:val="2C877559"/>
    <w:rsid w:val="2C9121B3"/>
    <w:rsid w:val="2C924D74"/>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D14E6"/>
    <w:rsid w:val="2D4E4D0B"/>
    <w:rsid w:val="2D5145BB"/>
    <w:rsid w:val="2D7322FD"/>
    <w:rsid w:val="2D7406B9"/>
    <w:rsid w:val="2D8E2EA1"/>
    <w:rsid w:val="2D8F27DB"/>
    <w:rsid w:val="2D927047"/>
    <w:rsid w:val="2D966719"/>
    <w:rsid w:val="2D97240F"/>
    <w:rsid w:val="2D9E7AAD"/>
    <w:rsid w:val="2DB46007"/>
    <w:rsid w:val="2DC92410"/>
    <w:rsid w:val="2DD70417"/>
    <w:rsid w:val="2DDB0F96"/>
    <w:rsid w:val="2DE35418"/>
    <w:rsid w:val="2E0D4E92"/>
    <w:rsid w:val="2E101687"/>
    <w:rsid w:val="2E126562"/>
    <w:rsid w:val="2E1D58DE"/>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B73CC7"/>
    <w:rsid w:val="2EDF3CED"/>
    <w:rsid w:val="2EF9378F"/>
    <w:rsid w:val="2F102D49"/>
    <w:rsid w:val="2F1544E7"/>
    <w:rsid w:val="2F223112"/>
    <w:rsid w:val="2F2832E3"/>
    <w:rsid w:val="2F2A028B"/>
    <w:rsid w:val="2F2E4CD3"/>
    <w:rsid w:val="2F3C1119"/>
    <w:rsid w:val="2F3F322C"/>
    <w:rsid w:val="2F4361BA"/>
    <w:rsid w:val="2F4773C1"/>
    <w:rsid w:val="2F570BF8"/>
    <w:rsid w:val="2F644678"/>
    <w:rsid w:val="2F645E81"/>
    <w:rsid w:val="2F6A3BE3"/>
    <w:rsid w:val="2F7D414C"/>
    <w:rsid w:val="2F820752"/>
    <w:rsid w:val="2F8412FC"/>
    <w:rsid w:val="2F843CF0"/>
    <w:rsid w:val="2F8612D3"/>
    <w:rsid w:val="2F8E5104"/>
    <w:rsid w:val="2FA557A7"/>
    <w:rsid w:val="2FBD3859"/>
    <w:rsid w:val="2FC40827"/>
    <w:rsid w:val="2FCC6278"/>
    <w:rsid w:val="2FE73242"/>
    <w:rsid w:val="2FEB512F"/>
    <w:rsid w:val="2FF06294"/>
    <w:rsid w:val="2FF13DD5"/>
    <w:rsid w:val="2FF66C8B"/>
    <w:rsid w:val="2FF9135A"/>
    <w:rsid w:val="30121DB6"/>
    <w:rsid w:val="30194267"/>
    <w:rsid w:val="30265DB3"/>
    <w:rsid w:val="303D2A1B"/>
    <w:rsid w:val="303E2FFE"/>
    <w:rsid w:val="30423C79"/>
    <w:rsid w:val="306205C4"/>
    <w:rsid w:val="30657AE9"/>
    <w:rsid w:val="30856D7B"/>
    <w:rsid w:val="308A183B"/>
    <w:rsid w:val="308E5FDF"/>
    <w:rsid w:val="30926D0D"/>
    <w:rsid w:val="309C6DDB"/>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F2C3A"/>
    <w:rsid w:val="31D063CB"/>
    <w:rsid w:val="31D811C4"/>
    <w:rsid w:val="31D918C1"/>
    <w:rsid w:val="31DF7D59"/>
    <w:rsid w:val="31E352CF"/>
    <w:rsid w:val="31EC57C4"/>
    <w:rsid w:val="320E75A5"/>
    <w:rsid w:val="32186538"/>
    <w:rsid w:val="3221030E"/>
    <w:rsid w:val="32301C76"/>
    <w:rsid w:val="32384218"/>
    <w:rsid w:val="324178A4"/>
    <w:rsid w:val="32494549"/>
    <w:rsid w:val="3253586C"/>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D393F"/>
    <w:rsid w:val="32CF3752"/>
    <w:rsid w:val="32DD7534"/>
    <w:rsid w:val="32F64C2C"/>
    <w:rsid w:val="33313D66"/>
    <w:rsid w:val="33352864"/>
    <w:rsid w:val="33397206"/>
    <w:rsid w:val="33451D77"/>
    <w:rsid w:val="33516568"/>
    <w:rsid w:val="33530865"/>
    <w:rsid w:val="33547F1F"/>
    <w:rsid w:val="337169E0"/>
    <w:rsid w:val="33796778"/>
    <w:rsid w:val="337F01D0"/>
    <w:rsid w:val="3397431E"/>
    <w:rsid w:val="33AD0C9D"/>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E06A6B"/>
    <w:rsid w:val="34EA0F65"/>
    <w:rsid w:val="34F2011B"/>
    <w:rsid w:val="34F73B82"/>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16007"/>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A3D76"/>
    <w:rsid w:val="374B3050"/>
    <w:rsid w:val="3754377B"/>
    <w:rsid w:val="376755B7"/>
    <w:rsid w:val="376D73D3"/>
    <w:rsid w:val="377E113A"/>
    <w:rsid w:val="37873DC6"/>
    <w:rsid w:val="378C5DE8"/>
    <w:rsid w:val="379A365A"/>
    <w:rsid w:val="37A34F91"/>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30B60"/>
    <w:rsid w:val="386B0ED9"/>
    <w:rsid w:val="387409B9"/>
    <w:rsid w:val="387D29BE"/>
    <w:rsid w:val="38837E13"/>
    <w:rsid w:val="38862BA8"/>
    <w:rsid w:val="388C5F8D"/>
    <w:rsid w:val="38945C70"/>
    <w:rsid w:val="38A05A0D"/>
    <w:rsid w:val="38A968C8"/>
    <w:rsid w:val="38AB19DA"/>
    <w:rsid w:val="38B96453"/>
    <w:rsid w:val="38C37207"/>
    <w:rsid w:val="38D27E22"/>
    <w:rsid w:val="38F05821"/>
    <w:rsid w:val="38F65986"/>
    <w:rsid w:val="39037914"/>
    <w:rsid w:val="390A3D17"/>
    <w:rsid w:val="39197EF7"/>
    <w:rsid w:val="39267A2B"/>
    <w:rsid w:val="393B6A45"/>
    <w:rsid w:val="3957061E"/>
    <w:rsid w:val="39633DCD"/>
    <w:rsid w:val="3969467E"/>
    <w:rsid w:val="396A5805"/>
    <w:rsid w:val="397D09C0"/>
    <w:rsid w:val="39882EE2"/>
    <w:rsid w:val="39884C68"/>
    <w:rsid w:val="399476E9"/>
    <w:rsid w:val="39AA29DA"/>
    <w:rsid w:val="39B50F31"/>
    <w:rsid w:val="39C84667"/>
    <w:rsid w:val="39CA73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615F7B"/>
    <w:rsid w:val="3A650A0E"/>
    <w:rsid w:val="3A6662AD"/>
    <w:rsid w:val="3A6C210B"/>
    <w:rsid w:val="3A731164"/>
    <w:rsid w:val="3A7F3816"/>
    <w:rsid w:val="3A8075B8"/>
    <w:rsid w:val="3A845910"/>
    <w:rsid w:val="3A8D5643"/>
    <w:rsid w:val="3A986C86"/>
    <w:rsid w:val="3AB445DA"/>
    <w:rsid w:val="3AC40869"/>
    <w:rsid w:val="3AE93A93"/>
    <w:rsid w:val="3AEE64DE"/>
    <w:rsid w:val="3AFD3D21"/>
    <w:rsid w:val="3B06715E"/>
    <w:rsid w:val="3B0F1B0C"/>
    <w:rsid w:val="3B16341F"/>
    <w:rsid w:val="3B247D05"/>
    <w:rsid w:val="3B2D7969"/>
    <w:rsid w:val="3B4F5659"/>
    <w:rsid w:val="3B587FC0"/>
    <w:rsid w:val="3B5C5E4F"/>
    <w:rsid w:val="3B686802"/>
    <w:rsid w:val="3B8A05C9"/>
    <w:rsid w:val="3B8B65A4"/>
    <w:rsid w:val="3B94771D"/>
    <w:rsid w:val="3B9C51AC"/>
    <w:rsid w:val="3BA86F0F"/>
    <w:rsid w:val="3BB26CEE"/>
    <w:rsid w:val="3BBE4E43"/>
    <w:rsid w:val="3BDE71BE"/>
    <w:rsid w:val="3C0829E0"/>
    <w:rsid w:val="3C0B32C7"/>
    <w:rsid w:val="3C0B7D3C"/>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B3335"/>
    <w:rsid w:val="3CC21E8B"/>
    <w:rsid w:val="3CC258D5"/>
    <w:rsid w:val="3CD30C12"/>
    <w:rsid w:val="3CDC1F42"/>
    <w:rsid w:val="3CE54A39"/>
    <w:rsid w:val="3CF11106"/>
    <w:rsid w:val="3CF1460B"/>
    <w:rsid w:val="3CFE7137"/>
    <w:rsid w:val="3CFF5FCC"/>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833861"/>
    <w:rsid w:val="3E880CDE"/>
    <w:rsid w:val="3E9902BD"/>
    <w:rsid w:val="3EAB68CC"/>
    <w:rsid w:val="3EB45BDF"/>
    <w:rsid w:val="3EC075F2"/>
    <w:rsid w:val="3EC07E82"/>
    <w:rsid w:val="3EC61005"/>
    <w:rsid w:val="3EC64136"/>
    <w:rsid w:val="3ECC6C03"/>
    <w:rsid w:val="3ED037EE"/>
    <w:rsid w:val="3EE16478"/>
    <w:rsid w:val="3EF2130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30B74"/>
    <w:rsid w:val="40AA54F1"/>
    <w:rsid w:val="40AF041C"/>
    <w:rsid w:val="40CC1C7A"/>
    <w:rsid w:val="40D145D9"/>
    <w:rsid w:val="40DA6699"/>
    <w:rsid w:val="40E81F30"/>
    <w:rsid w:val="40F17832"/>
    <w:rsid w:val="4107385B"/>
    <w:rsid w:val="4113642B"/>
    <w:rsid w:val="41151751"/>
    <w:rsid w:val="411D5581"/>
    <w:rsid w:val="411F13DA"/>
    <w:rsid w:val="41225E28"/>
    <w:rsid w:val="413635BD"/>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C0AC2"/>
    <w:rsid w:val="41EC244C"/>
    <w:rsid w:val="42115916"/>
    <w:rsid w:val="4222777A"/>
    <w:rsid w:val="4224197E"/>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28318E"/>
    <w:rsid w:val="4337362E"/>
    <w:rsid w:val="43377A41"/>
    <w:rsid w:val="433C0AD9"/>
    <w:rsid w:val="435C2DD4"/>
    <w:rsid w:val="43606EE8"/>
    <w:rsid w:val="436D6C7E"/>
    <w:rsid w:val="43825E8E"/>
    <w:rsid w:val="438C60C3"/>
    <w:rsid w:val="43B67D40"/>
    <w:rsid w:val="43C90ABC"/>
    <w:rsid w:val="43D60F59"/>
    <w:rsid w:val="43D6358D"/>
    <w:rsid w:val="43E61AF4"/>
    <w:rsid w:val="43EA6FF8"/>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400BC0"/>
    <w:rsid w:val="455C4C80"/>
    <w:rsid w:val="455D4229"/>
    <w:rsid w:val="45617F43"/>
    <w:rsid w:val="45675C27"/>
    <w:rsid w:val="4572498F"/>
    <w:rsid w:val="458469DB"/>
    <w:rsid w:val="45863114"/>
    <w:rsid w:val="45871207"/>
    <w:rsid w:val="459D3251"/>
    <w:rsid w:val="45A1725C"/>
    <w:rsid w:val="45A34A00"/>
    <w:rsid w:val="45B33A3B"/>
    <w:rsid w:val="45C20D69"/>
    <w:rsid w:val="45D077D4"/>
    <w:rsid w:val="45DE6754"/>
    <w:rsid w:val="45EF1E60"/>
    <w:rsid w:val="45F877F1"/>
    <w:rsid w:val="46043836"/>
    <w:rsid w:val="46163A58"/>
    <w:rsid w:val="461C30A3"/>
    <w:rsid w:val="461F2208"/>
    <w:rsid w:val="462253D7"/>
    <w:rsid w:val="463416CE"/>
    <w:rsid w:val="4638223A"/>
    <w:rsid w:val="4641025F"/>
    <w:rsid w:val="464B7611"/>
    <w:rsid w:val="466E0F0B"/>
    <w:rsid w:val="4673382E"/>
    <w:rsid w:val="4675674D"/>
    <w:rsid w:val="468D1FB1"/>
    <w:rsid w:val="468F6773"/>
    <w:rsid w:val="469A330F"/>
    <w:rsid w:val="469F56A5"/>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97A2F"/>
    <w:rsid w:val="473C7D38"/>
    <w:rsid w:val="47453296"/>
    <w:rsid w:val="474642EB"/>
    <w:rsid w:val="47464FC4"/>
    <w:rsid w:val="474C1532"/>
    <w:rsid w:val="4751578B"/>
    <w:rsid w:val="47561544"/>
    <w:rsid w:val="476025BF"/>
    <w:rsid w:val="47667359"/>
    <w:rsid w:val="47692A32"/>
    <w:rsid w:val="476F7EEF"/>
    <w:rsid w:val="47707676"/>
    <w:rsid w:val="47765DD9"/>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835B6"/>
    <w:rsid w:val="48CD6635"/>
    <w:rsid w:val="48DE76C4"/>
    <w:rsid w:val="48E31A8E"/>
    <w:rsid w:val="48E5360E"/>
    <w:rsid w:val="48F15DFA"/>
    <w:rsid w:val="4900172C"/>
    <w:rsid w:val="491451B5"/>
    <w:rsid w:val="491A53A2"/>
    <w:rsid w:val="492C6E96"/>
    <w:rsid w:val="493779BE"/>
    <w:rsid w:val="493F499D"/>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57C79"/>
    <w:rsid w:val="4A280924"/>
    <w:rsid w:val="4A2B1DEA"/>
    <w:rsid w:val="4A2D0F49"/>
    <w:rsid w:val="4A3523B2"/>
    <w:rsid w:val="4A443451"/>
    <w:rsid w:val="4A4710CB"/>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2F1F"/>
    <w:rsid w:val="4CD841F0"/>
    <w:rsid w:val="4CD87782"/>
    <w:rsid w:val="4CDD1206"/>
    <w:rsid w:val="4CF06B00"/>
    <w:rsid w:val="4CF76CE2"/>
    <w:rsid w:val="4CF813F9"/>
    <w:rsid w:val="4CFA2A1C"/>
    <w:rsid w:val="4D1B2635"/>
    <w:rsid w:val="4D2251B3"/>
    <w:rsid w:val="4D2A31DF"/>
    <w:rsid w:val="4D3071CD"/>
    <w:rsid w:val="4D4223C9"/>
    <w:rsid w:val="4D463441"/>
    <w:rsid w:val="4D6837B8"/>
    <w:rsid w:val="4D6A0811"/>
    <w:rsid w:val="4D6F6F69"/>
    <w:rsid w:val="4D776DC3"/>
    <w:rsid w:val="4D877D93"/>
    <w:rsid w:val="4D8C7206"/>
    <w:rsid w:val="4D905912"/>
    <w:rsid w:val="4D9159F5"/>
    <w:rsid w:val="4D96605A"/>
    <w:rsid w:val="4D98115A"/>
    <w:rsid w:val="4DA01148"/>
    <w:rsid w:val="4DC579C6"/>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C6748D"/>
    <w:rsid w:val="4FD14464"/>
    <w:rsid w:val="4FE20BB5"/>
    <w:rsid w:val="4FE6073F"/>
    <w:rsid w:val="4FE75848"/>
    <w:rsid w:val="4FF267B6"/>
    <w:rsid w:val="4FFA7287"/>
    <w:rsid w:val="500C2485"/>
    <w:rsid w:val="500C2A64"/>
    <w:rsid w:val="50166EE3"/>
    <w:rsid w:val="502C53C6"/>
    <w:rsid w:val="503839AD"/>
    <w:rsid w:val="503B7294"/>
    <w:rsid w:val="50564035"/>
    <w:rsid w:val="50576974"/>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622AB"/>
    <w:rsid w:val="515F7EA6"/>
    <w:rsid w:val="516164B6"/>
    <w:rsid w:val="516372E4"/>
    <w:rsid w:val="516414B3"/>
    <w:rsid w:val="517003D2"/>
    <w:rsid w:val="51887C28"/>
    <w:rsid w:val="519705C8"/>
    <w:rsid w:val="519B3A9C"/>
    <w:rsid w:val="51B33439"/>
    <w:rsid w:val="51B3391D"/>
    <w:rsid w:val="51BD3E01"/>
    <w:rsid w:val="51CB7231"/>
    <w:rsid w:val="51DE6A73"/>
    <w:rsid w:val="51F326E7"/>
    <w:rsid w:val="52077BF2"/>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794F8B"/>
    <w:rsid w:val="557B4C8B"/>
    <w:rsid w:val="55832F33"/>
    <w:rsid w:val="558A5F58"/>
    <w:rsid w:val="558D782E"/>
    <w:rsid w:val="558F42FA"/>
    <w:rsid w:val="55951C70"/>
    <w:rsid w:val="55B52DF8"/>
    <w:rsid w:val="55BB4B52"/>
    <w:rsid w:val="55CA34C8"/>
    <w:rsid w:val="55CB1CAC"/>
    <w:rsid w:val="55D11067"/>
    <w:rsid w:val="55D15F89"/>
    <w:rsid w:val="55D24E7E"/>
    <w:rsid w:val="55EA6D1D"/>
    <w:rsid w:val="55EE45E5"/>
    <w:rsid w:val="55FE6BE4"/>
    <w:rsid w:val="56053523"/>
    <w:rsid w:val="560839E5"/>
    <w:rsid w:val="560A2D1E"/>
    <w:rsid w:val="561B3DC0"/>
    <w:rsid w:val="56211BC6"/>
    <w:rsid w:val="56597936"/>
    <w:rsid w:val="565A3745"/>
    <w:rsid w:val="56674043"/>
    <w:rsid w:val="566A4A9E"/>
    <w:rsid w:val="56790537"/>
    <w:rsid w:val="56890707"/>
    <w:rsid w:val="5694199B"/>
    <w:rsid w:val="56A010CA"/>
    <w:rsid w:val="56A8433D"/>
    <w:rsid w:val="56B50793"/>
    <w:rsid w:val="56D87655"/>
    <w:rsid w:val="56DA3AE3"/>
    <w:rsid w:val="56DC7D13"/>
    <w:rsid w:val="56DD7F29"/>
    <w:rsid w:val="56DF393F"/>
    <w:rsid w:val="56E82126"/>
    <w:rsid w:val="56F267E1"/>
    <w:rsid w:val="56F54041"/>
    <w:rsid w:val="57036935"/>
    <w:rsid w:val="57066F91"/>
    <w:rsid w:val="571324AB"/>
    <w:rsid w:val="571E6EC9"/>
    <w:rsid w:val="57211E57"/>
    <w:rsid w:val="57271B76"/>
    <w:rsid w:val="57290486"/>
    <w:rsid w:val="57495B53"/>
    <w:rsid w:val="57555665"/>
    <w:rsid w:val="575F3DA0"/>
    <w:rsid w:val="5764164C"/>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9510C"/>
    <w:rsid w:val="588E3958"/>
    <w:rsid w:val="58957BD9"/>
    <w:rsid w:val="58A03185"/>
    <w:rsid w:val="58A04280"/>
    <w:rsid w:val="58A74E2C"/>
    <w:rsid w:val="58B50A9E"/>
    <w:rsid w:val="58B54357"/>
    <w:rsid w:val="58B67D21"/>
    <w:rsid w:val="58C213D0"/>
    <w:rsid w:val="58CA2633"/>
    <w:rsid w:val="58D108AB"/>
    <w:rsid w:val="58E849A9"/>
    <w:rsid w:val="58F14B54"/>
    <w:rsid w:val="590848BC"/>
    <w:rsid w:val="5917423E"/>
    <w:rsid w:val="593B0E3D"/>
    <w:rsid w:val="5946457D"/>
    <w:rsid w:val="594C374D"/>
    <w:rsid w:val="59523F34"/>
    <w:rsid w:val="59565A07"/>
    <w:rsid w:val="595912C2"/>
    <w:rsid w:val="59826013"/>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D4DFE"/>
    <w:rsid w:val="5A2F6ABD"/>
    <w:rsid w:val="5A415650"/>
    <w:rsid w:val="5A5105C3"/>
    <w:rsid w:val="5A58463C"/>
    <w:rsid w:val="5A5925FE"/>
    <w:rsid w:val="5A5A54FE"/>
    <w:rsid w:val="5A5A763A"/>
    <w:rsid w:val="5A70416F"/>
    <w:rsid w:val="5A751708"/>
    <w:rsid w:val="5A8654CC"/>
    <w:rsid w:val="5A8D164F"/>
    <w:rsid w:val="5AAD6717"/>
    <w:rsid w:val="5AB032EE"/>
    <w:rsid w:val="5AB36283"/>
    <w:rsid w:val="5AC13BE8"/>
    <w:rsid w:val="5AD806B8"/>
    <w:rsid w:val="5ADA200C"/>
    <w:rsid w:val="5ADA5D95"/>
    <w:rsid w:val="5AF0295A"/>
    <w:rsid w:val="5B006684"/>
    <w:rsid w:val="5B0C78F5"/>
    <w:rsid w:val="5B1523FA"/>
    <w:rsid w:val="5B2E1668"/>
    <w:rsid w:val="5B39471A"/>
    <w:rsid w:val="5B4C60A1"/>
    <w:rsid w:val="5B500A59"/>
    <w:rsid w:val="5B506AC3"/>
    <w:rsid w:val="5B526958"/>
    <w:rsid w:val="5B536466"/>
    <w:rsid w:val="5B68723A"/>
    <w:rsid w:val="5B743189"/>
    <w:rsid w:val="5B875274"/>
    <w:rsid w:val="5B930D6A"/>
    <w:rsid w:val="5B9C259D"/>
    <w:rsid w:val="5BA51E4A"/>
    <w:rsid w:val="5BA92B1F"/>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E28EF"/>
    <w:rsid w:val="5D604556"/>
    <w:rsid w:val="5DA03427"/>
    <w:rsid w:val="5DA12B26"/>
    <w:rsid w:val="5DA52D6F"/>
    <w:rsid w:val="5DBE365D"/>
    <w:rsid w:val="5DF242AA"/>
    <w:rsid w:val="5DF27D5A"/>
    <w:rsid w:val="5DF90388"/>
    <w:rsid w:val="5E040059"/>
    <w:rsid w:val="5E084C7B"/>
    <w:rsid w:val="5E0914A4"/>
    <w:rsid w:val="5E1844B1"/>
    <w:rsid w:val="5E1F00DC"/>
    <w:rsid w:val="5E2349C0"/>
    <w:rsid w:val="5E250B5E"/>
    <w:rsid w:val="5E280190"/>
    <w:rsid w:val="5E325F47"/>
    <w:rsid w:val="5E3C6C0B"/>
    <w:rsid w:val="5E3F4424"/>
    <w:rsid w:val="5E433908"/>
    <w:rsid w:val="5E506258"/>
    <w:rsid w:val="5E596E47"/>
    <w:rsid w:val="5E640B4C"/>
    <w:rsid w:val="5E721515"/>
    <w:rsid w:val="5E8421F4"/>
    <w:rsid w:val="5E857C28"/>
    <w:rsid w:val="5E922AF4"/>
    <w:rsid w:val="5E943315"/>
    <w:rsid w:val="5E99403E"/>
    <w:rsid w:val="5EA23BEF"/>
    <w:rsid w:val="5EAA45C2"/>
    <w:rsid w:val="5EAB7374"/>
    <w:rsid w:val="5EB5647F"/>
    <w:rsid w:val="5EBD2CB4"/>
    <w:rsid w:val="5ECA27B9"/>
    <w:rsid w:val="5ECB7BF2"/>
    <w:rsid w:val="5EE969C3"/>
    <w:rsid w:val="5EF24373"/>
    <w:rsid w:val="5EF30AE7"/>
    <w:rsid w:val="5EF775EB"/>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C57C91"/>
    <w:rsid w:val="5FCE245F"/>
    <w:rsid w:val="5FD32219"/>
    <w:rsid w:val="5FDC1B9B"/>
    <w:rsid w:val="5FF50B7C"/>
    <w:rsid w:val="5FF74A8C"/>
    <w:rsid w:val="5FFB1252"/>
    <w:rsid w:val="60072412"/>
    <w:rsid w:val="60130301"/>
    <w:rsid w:val="60196F3A"/>
    <w:rsid w:val="603043EF"/>
    <w:rsid w:val="6036769C"/>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287C12"/>
    <w:rsid w:val="613D1452"/>
    <w:rsid w:val="6143603C"/>
    <w:rsid w:val="61545B6D"/>
    <w:rsid w:val="616C773E"/>
    <w:rsid w:val="61763288"/>
    <w:rsid w:val="61795F3B"/>
    <w:rsid w:val="61945CD8"/>
    <w:rsid w:val="61981920"/>
    <w:rsid w:val="61A335E1"/>
    <w:rsid w:val="61A359FF"/>
    <w:rsid w:val="61B80969"/>
    <w:rsid w:val="61BD00F1"/>
    <w:rsid w:val="61C02FF5"/>
    <w:rsid w:val="61D55291"/>
    <w:rsid w:val="61DB6C55"/>
    <w:rsid w:val="61EE19CC"/>
    <w:rsid w:val="61F354C2"/>
    <w:rsid w:val="6209128F"/>
    <w:rsid w:val="620E5D8A"/>
    <w:rsid w:val="62125083"/>
    <w:rsid w:val="62262E7A"/>
    <w:rsid w:val="6231003C"/>
    <w:rsid w:val="62366488"/>
    <w:rsid w:val="623B63B7"/>
    <w:rsid w:val="623F4920"/>
    <w:rsid w:val="62494F09"/>
    <w:rsid w:val="624A1B49"/>
    <w:rsid w:val="624E45D8"/>
    <w:rsid w:val="6250617C"/>
    <w:rsid w:val="62520DCA"/>
    <w:rsid w:val="62666F47"/>
    <w:rsid w:val="62690F67"/>
    <w:rsid w:val="627A370F"/>
    <w:rsid w:val="62990512"/>
    <w:rsid w:val="62A916E8"/>
    <w:rsid w:val="62B25649"/>
    <w:rsid w:val="62BC6E00"/>
    <w:rsid w:val="62C56FE5"/>
    <w:rsid w:val="62C7240E"/>
    <w:rsid w:val="62EA423D"/>
    <w:rsid w:val="630031BE"/>
    <w:rsid w:val="630E78F0"/>
    <w:rsid w:val="63103FC7"/>
    <w:rsid w:val="63160CAE"/>
    <w:rsid w:val="631652DA"/>
    <w:rsid w:val="631D3111"/>
    <w:rsid w:val="63204A36"/>
    <w:rsid w:val="63250A4F"/>
    <w:rsid w:val="63283C61"/>
    <w:rsid w:val="632E1C39"/>
    <w:rsid w:val="633B5E70"/>
    <w:rsid w:val="635342C2"/>
    <w:rsid w:val="635B4F0A"/>
    <w:rsid w:val="635C2B16"/>
    <w:rsid w:val="6361690C"/>
    <w:rsid w:val="636D152D"/>
    <w:rsid w:val="63727389"/>
    <w:rsid w:val="63733461"/>
    <w:rsid w:val="63740D84"/>
    <w:rsid w:val="637E3BE7"/>
    <w:rsid w:val="63850E8E"/>
    <w:rsid w:val="63882CEE"/>
    <w:rsid w:val="638C4CDE"/>
    <w:rsid w:val="63905FCF"/>
    <w:rsid w:val="63A20961"/>
    <w:rsid w:val="63A20A78"/>
    <w:rsid w:val="63A853FB"/>
    <w:rsid w:val="63C75B92"/>
    <w:rsid w:val="63C969BA"/>
    <w:rsid w:val="63CA29B9"/>
    <w:rsid w:val="63D3253C"/>
    <w:rsid w:val="63DB6970"/>
    <w:rsid w:val="63EC6C3A"/>
    <w:rsid w:val="63F60575"/>
    <w:rsid w:val="63F77FB1"/>
    <w:rsid w:val="63F97961"/>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3033DC"/>
    <w:rsid w:val="65327258"/>
    <w:rsid w:val="6539735F"/>
    <w:rsid w:val="653F00AD"/>
    <w:rsid w:val="65517C6F"/>
    <w:rsid w:val="65544D25"/>
    <w:rsid w:val="655C6CD3"/>
    <w:rsid w:val="6566344B"/>
    <w:rsid w:val="656A573C"/>
    <w:rsid w:val="65763127"/>
    <w:rsid w:val="65886A1A"/>
    <w:rsid w:val="65893ACB"/>
    <w:rsid w:val="65905186"/>
    <w:rsid w:val="65937E61"/>
    <w:rsid w:val="659E6DB8"/>
    <w:rsid w:val="65A35E61"/>
    <w:rsid w:val="65A62DB8"/>
    <w:rsid w:val="65B12C47"/>
    <w:rsid w:val="65B22CB3"/>
    <w:rsid w:val="65B867AF"/>
    <w:rsid w:val="65BB367F"/>
    <w:rsid w:val="65CA48D5"/>
    <w:rsid w:val="65DA1825"/>
    <w:rsid w:val="65DC577D"/>
    <w:rsid w:val="65E55DC7"/>
    <w:rsid w:val="660518AD"/>
    <w:rsid w:val="66112D35"/>
    <w:rsid w:val="662249C7"/>
    <w:rsid w:val="662E458E"/>
    <w:rsid w:val="664F1459"/>
    <w:rsid w:val="6660751B"/>
    <w:rsid w:val="6662461A"/>
    <w:rsid w:val="666B685A"/>
    <w:rsid w:val="66843C27"/>
    <w:rsid w:val="668A358B"/>
    <w:rsid w:val="66A22294"/>
    <w:rsid w:val="66B167D9"/>
    <w:rsid w:val="66B718F6"/>
    <w:rsid w:val="66B77C96"/>
    <w:rsid w:val="66C6028C"/>
    <w:rsid w:val="66EB255A"/>
    <w:rsid w:val="66F35B25"/>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B36D91"/>
    <w:rsid w:val="67CD4770"/>
    <w:rsid w:val="67DF5131"/>
    <w:rsid w:val="67E0527D"/>
    <w:rsid w:val="67E31422"/>
    <w:rsid w:val="67EA4D75"/>
    <w:rsid w:val="67F50316"/>
    <w:rsid w:val="67F8136D"/>
    <w:rsid w:val="680B3317"/>
    <w:rsid w:val="682C3322"/>
    <w:rsid w:val="683F785C"/>
    <w:rsid w:val="68570DC2"/>
    <w:rsid w:val="6865768E"/>
    <w:rsid w:val="6868422B"/>
    <w:rsid w:val="686B0DF2"/>
    <w:rsid w:val="68756660"/>
    <w:rsid w:val="687B65AE"/>
    <w:rsid w:val="68847A53"/>
    <w:rsid w:val="68910854"/>
    <w:rsid w:val="68A208F6"/>
    <w:rsid w:val="68A27EF5"/>
    <w:rsid w:val="68A864AF"/>
    <w:rsid w:val="68E170B3"/>
    <w:rsid w:val="68FE79AF"/>
    <w:rsid w:val="69012993"/>
    <w:rsid w:val="690220BD"/>
    <w:rsid w:val="69030DDF"/>
    <w:rsid w:val="6912744C"/>
    <w:rsid w:val="69187AE4"/>
    <w:rsid w:val="691B76DD"/>
    <w:rsid w:val="69273460"/>
    <w:rsid w:val="69336BFC"/>
    <w:rsid w:val="693A1C1B"/>
    <w:rsid w:val="694D0C05"/>
    <w:rsid w:val="694F15B3"/>
    <w:rsid w:val="695276CE"/>
    <w:rsid w:val="69611825"/>
    <w:rsid w:val="696E6A02"/>
    <w:rsid w:val="69797C2C"/>
    <w:rsid w:val="69823C91"/>
    <w:rsid w:val="69826BA8"/>
    <w:rsid w:val="698A1E75"/>
    <w:rsid w:val="6998191E"/>
    <w:rsid w:val="699D3999"/>
    <w:rsid w:val="69A07F6A"/>
    <w:rsid w:val="69B3536F"/>
    <w:rsid w:val="69BB5859"/>
    <w:rsid w:val="69BF1493"/>
    <w:rsid w:val="69C5778C"/>
    <w:rsid w:val="69C953F4"/>
    <w:rsid w:val="69D12A83"/>
    <w:rsid w:val="69D15066"/>
    <w:rsid w:val="69DF62ED"/>
    <w:rsid w:val="69E55D04"/>
    <w:rsid w:val="69E71CBB"/>
    <w:rsid w:val="6A041549"/>
    <w:rsid w:val="6A062314"/>
    <w:rsid w:val="6A07169A"/>
    <w:rsid w:val="6A1904ED"/>
    <w:rsid w:val="6A252E83"/>
    <w:rsid w:val="6A2B39A2"/>
    <w:rsid w:val="6A4E63D2"/>
    <w:rsid w:val="6A72023C"/>
    <w:rsid w:val="6A835F76"/>
    <w:rsid w:val="6A892BBB"/>
    <w:rsid w:val="6A9010CD"/>
    <w:rsid w:val="6A934155"/>
    <w:rsid w:val="6A960F65"/>
    <w:rsid w:val="6A977D6C"/>
    <w:rsid w:val="6A981DCD"/>
    <w:rsid w:val="6AB638F9"/>
    <w:rsid w:val="6AB71A6D"/>
    <w:rsid w:val="6AE65368"/>
    <w:rsid w:val="6AEF2922"/>
    <w:rsid w:val="6AF317F3"/>
    <w:rsid w:val="6AFF3D73"/>
    <w:rsid w:val="6B0B7BB9"/>
    <w:rsid w:val="6B1444F7"/>
    <w:rsid w:val="6B1C3891"/>
    <w:rsid w:val="6B3F28EF"/>
    <w:rsid w:val="6B4C5F2C"/>
    <w:rsid w:val="6B561562"/>
    <w:rsid w:val="6B5A2A48"/>
    <w:rsid w:val="6B5C19C0"/>
    <w:rsid w:val="6B620C02"/>
    <w:rsid w:val="6B702C55"/>
    <w:rsid w:val="6B743F45"/>
    <w:rsid w:val="6B792121"/>
    <w:rsid w:val="6B7F79A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727D8C"/>
    <w:rsid w:val="6C7C29A7"/>
    <w:rsid w:val="6C804214"/>
    <w:rsid w:val="6C866650"/>
    <w:rsid w:val="6CB56876"/>
    <w:rsid w:val="6CC419F3"/>
    <w:rsid w:val="6CC469B5"/>
    <w:rsid w:val="6CC52465"/>
    <w:rsid w:val="6CC5648B"/>
    <w:rsid w:val="6CCC3EC6"/>
    <w:rsid w:val="6CCC7BAE"/>
    <w:rsid w:val="6CCD2866"/>
    <w:rsid w:val="6CE97F64"/>
    <w:rsid w:val="6CEB0E2F"/>
    <w:rsid w:val="6CF106AD"/>
    <w:rsid w:val="6CF549E6"/>
    <w:rsid w:val="6CFA1076"/>
    <w:rsid w:val="6CFA777D"/>
    <w:rsid w:val="6CFD1227"/>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97405"/>
    <w:rsid w:val="6E0E1028"/>
    <w:rsid w:val="6E101629"/>
    <w:rsid w:val="6E145A7C"/>
    <w:rsid w:val="6E160D9C"/>
    <w:rsid w:val="6E2C098B"/>
    <w:rsid w:val="6E4662DC"/>
    <w:rsid w:val="6E511E37"/>
    <w:rsid w:val="6E5B554A"/>
    <w:rsid w:val="6E5C7D35"/>
    <w:rsid w:val="6E674912"/>
    <w:rsid w:val="6E6A4764"/>
    <w:rsid w:val="6E7251A5"/>
    <w:rsid w:val="6E746D80"/>
    <w:rsid w:val="6E9821A1"/>
    <w:rsid w:val="6E996FAF"/>
    <w:rsid w:val="6EA01DD1"/>
    <w:rsid w:val="6EA2047A"/>
    <w:rsid w:val="6EB02A3D"/>
    <w:rsid w:val="6EB61295"/>
    <w:rsid w:val="6ECE7848"/>
    <w:rsid w:val="6ECE78F2"/>
    <w:rsid w:val="6EDD0E4F"/>
    <w:rsid w:val="6EEB23CD"/>
    <w:rsid w:val="6EEB289D"/>
    <w:rsid w:val="6EEC2156"/>
    <w:rsid w:val="6EF76E3B"/>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DB7436"/>
    <w:rsid w:val="6FDC69C2"/>
    <w:rsid w:val="6FDF3A89"/>
    <w:rsid w:val="6FE07F82"/>
    <w:rsid w:val="6FE70801"/>
    <w:rsid w:val="6FEB35BA"/>
    <w:rsid w:val="6FF2376F"/>
    <w:rsid w:val="6FF81393"/>
    <w:rsid w:val="70003C65"/>
    <w:rsid w:val="70005178"/>
    <w:rsid w:val="70052F32"/>
    <w:rsid w:val="70065B25"/>
    <w:rsid w:val="7022547F"/>
    <w:rsid w:val="70296D61"/>
    <w:rsid w:val="702F3AAF"/>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92AB4"/>
    <w:rsid w:val="719965F1"/>
    <w:rsid w:val="71AB2094"/>
    <w:rsid w:val="71B81D10"/>
    <w:rsid w:val="71B95C18"/>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6C5886"/>
    <w:rsid w:val="727205E6"/>
    <w:rsid w:val="727262A0"/>
    <w:rsid w:val="727B396C"/>
    <w:rsid w:val="72806500"/>
    <w:rsid w:val="728511DC"/>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F641AB"/>
    <w:rsid w:val="73F92E98"/>
    <w:rsid w:val="740E2030"/>
    <w:rsid w:val="74144EA0"/>
    <w:rsid w:val="741474A6"/>
    <w:rsid w:val="74150878"/>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C068A9"/>
    <w:rsid w:val="75CC0E61"/>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A72CB9"/>
    <w:rsid w:val="76BD097A"/>
    <w:rsid w:val="76C5396B"/>
    <w:rsid w:val="76CE25D0"/>
    <w:rsid w:val="76D64223"/>
    <w:rsid w:val="76E30140"/>
    <w:rsid w:val="76E61D96"/>
    <w:rsid w:val="76EB730E"/>
    <w:rsid w:val="76F63E3A"/>
    <w:rsid w:val="76F754DC"/>
    <w:rsid w:val="7708433F"/>
    <w:rsid w:val="771F7289"/>
    <w:rsid w:val="77363120"/>
    <w:rsid w:val="775F3709"/>
    <w:rsid w:val="77673DCE"/>
    <w:rsid w:val="777A7A3E"/>
    <w:rsid w:val="777C2047"/>
    <w:rsid w:val="777E72EB"/>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2A0CA0"/>
    <w:rsid w:val="783212C7"/>
    <w:rsid w:val="78324765"/>
    <w:rsid w:val="783B622A"/>
    <w:rsid w:val="783D34F5"/>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625528"/>
    <w:rsid w:val="7963001B"/>
    <w:rsid w:val="796411F3"/>
    <w:rsid w:val="796528F1"/>
    <w:rsid w:val="79782668"/>
    <w:rsid w:val="797D7C7B"/>
    <w:rsid w:val="798473C1"/>
    <w:rsid w:val="798D0CB1"/>
    <w:rsid w:val="79A917D5"/>
    <w:rsid w:val="79B11162"/>
    <w:rsid w:val="79F866D7"/>
    <w:rsid w:val="7A0D5030"/>
    <w:rsid w:val="7A1F0B92"/>
    <w:rsid w:val="7A2F0FE2"/>
    <w:rsid w:val="7A2F6A25"/>
    <w:rsid w:val="7A375628"/>
    <w:rsid w:val="7A3B0D02"/>
    <w:rsid w:val="7A3C0448"/>
    <w:rsid w:val="7A462225"/>
    <w:rsid w:val="7A4B1579"/>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56395"/>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82B29"/>
    <w:rsid w:val="7CFC37A3"/>
    <w:rsid w:val="7D0522E0"/>
    <w:rsid w:val="7D176CD4"/>
    <w:rsid w:val="7D18193F"/>
    <w:rsid w:val="7D316BAB"/>
    <w:rsid w:val="7D377A61"/>
    <w:rsid w:val="7D3C36D7"/>
    <w:rsid w:val="7D4E6D0D"/>
    <w:rsid w:val="7D547A3C"/>
    <w:rsid w:val="7D6D7F9D"/>
    <w:rsid w:val="7D737ECC"/>
    <w:rsid w:val="7D7F4D51"/>
    <w:rsid w:val="7D8354C7"/>
    <w:rsid w:val="7D941C0F"/>
    <w:rsid w:val="7DAB67A3"/>
    <w:rsid w:val="7DB44B27"/>
    <w:rsid w:val="7DB82B5F"/>
    <w:rsid w:val="7DBF30E5"/>
    <w:rsid w:val="7DC92892"/>
    <w:rsid w:val="7DD3555C"/>
    <w:rsid w:val="7DDC1687"/>
    <w:rsid w:val="7DDC5561"/>
    <w:rsid w:val="7DE53A1D"/>
    <w:rsid w:val="7DE805EC"/>
    <w:rsid w:val="7E0D1655"/>
    <w:rsid w:val="7E0E4C52"/>
    <w:rsid w:val="7E180D00"/>
    <w:rsid w:val="7E1A5F33"/>
    <w:rsid w:val="7E1B1677"/>
    <w:rsid w:val="7E1B4DBE"/>
    <w:rsid w:val="7E3B0F1A"/>
    <w:rsid w:val="7E4C0278"/>
    <w:rsid w:val="7E5426EF"/>
    <w:rsid w:val="7E554F28"/>
    <w:rsid w:val="7E582A5A"/>
    <w:rsid w:val="7E705793"/>
    <w:rsid w:val="7E8209B3"/>
    <w:rsid w:val="7E851695"/>
    <w:rsid w:val="7E865444"/>
    <w:rsid w:val="7E970A59"/>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7021D"/>
    <w:rsid w:val="7F9C2851"/>
    <w:rsid w:val="7F9C3B32"/>
    <w:rsid w:val="7FC00AC8"/>
    <w:rsid w:val="7FCB421A"/>
    <w:rsid w:val="7FCF058D"/>
    <w:rsid w:val="7FD25D7C"/>
    <w:rsid w:val="7FDE5C9E"/>
    <w:rsid w:val="7FE655FC"/>
    <w:rsid w:val="7FE677B0"/>
    <w:rsid w:val="7FEB2466"/>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6"/>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09F56B-C62E-4651-8619-55453A92EC28}">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947</Words>
  <Characters>5402</Characters>
  <Lines>45</Lines>
  <Paragraphs>12</Paragraphs>
  <TotalTime>7</TotalTime>
  <ScaleCrop>false</ScaleCrop>
  <LinksUpToDate>false</LinksUpToDate>
  <CharactersWithSpaces>6337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2020-02-13T23:55:00Z</dcterms:created>
  <dc:creator>10033860</dc:creator>
  <cp:lastModifiedBy>ZTE-ZMJ</cp:lastModifiedBy>
  <cp:lastPrinted>2113-01-01T00:00:00Z</cp:lastPrinted>
  <dcterms:modified xsi:type="dcterms:W3CDTF">2020-02-14T01:48:14Z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